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
          <w:szCs w:val="2"/>
          <w:u w:val="none"/>
          <w:shd w:fill="auto" w:val="clear"/>
          <w:vertAlign w:val="baseline"/>
        </w:rPr>
      </w:pPr>
      <w:bookmarkStart w:colFirst="0" w:colLast="0" w:name="_heading=h.6edxe7n6c72z" w:id="0"/>
      <w:bookmarkEnd w:id="0"/>
      <w:r w:rsidDel="00000000" w:rsidR="00000000" w:rsidRPr="00000000">
        <w:rPr>
          <w:rFonts w:ascii="Helvetica Neue" w:cs="Helvetica Neue" w:eastAsia="Helvetica Neue" w:hAnsi="Helvetica Neue"/>
          <w:b w:val="1"/>
          <w:i w:val="0"/>
          <w:smallCaps w:val="0"/>
          <w:strike w:val="0"/>
          <w:color w:val="000000"/>
          <w:sz w:val="2"/>
          <w:szCs w:val="2"/>
          <w:u w:val="none"/>
          <w:shd w:fill="auto" w:val="clear"/>
          <w:vertAlign w:val="baseline"/>
          <w:rtl w:val="0"/>
        </w:rPr>
        <w:t xml:space="preserve"> </w:t>
      </w:r>
    </w:p>
    <w:tbl>
      <w:tblPr>
        <w:tblStyle w:val="Table1"/>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6630"/>
        <w:tblGridChange w:id="0">
          <w:tblGrid>
            <w:gridCol w:w="2160"/>
            <w:gridCol w:w="66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52.00000000000003" w:lineRule="auto"/>
              <w:ind w:left="0" w:right="0" w:firstLine="0"/>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b w:val="1"/>
                <w:sz w:val="28"/>
                <w:szCs w:val="28"/>
              </w:rPr>
              <w:drawing>
                <wp:inline distB="114300" distT="114300" distL="114300" distR="114300">
                  <wp:extent cx="877253" cy="840481"/>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77253" cy="840481"/>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52.00000000000003"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bookmarkStart w:colFirst="0" w:colLast="0" w:name="_heading=h.lavsjsv9wmxc" w:id="1"/>
            <w:bookmarkEnd w:id="1"/>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Gender-based Violence and Biodiversity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52.00000000000003"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bookmarkStart w:colFirst="0" w:colLast="0" w:name="_heading=h.edibpwvf0bcs" w:id="2"/>
            <w:bookmarkEnd w:id="2"/>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 briefing note on linkages to inform the post-2020 Global Biodiversity Framework process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52.00000000000003"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bookmarkStart w:colFirst="0" w:colLast="0" w:name="_heading=h.9kkm01r6ux1x" w:id="3"/>
            <w:bookmarkEnd w:id="3"/>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June 2021</w:t>
            </w:r>
            <w:r w:rsidDel="00000000" w:rsidR="00000000" w:rsidRPr="00000000">
              <w:rPr>
                <w:rtl w:val="0"/>
              </w:rPr>
            </w:r>
          </w:p>
        </w:tc>
      </w:tr>
    </w:tbl>
    <w:p w:rsidR="00000000" w:rsidDel="00000000" w:rsidP="00000000" w:rsidRDefault="00000000" w:rsidRPr="00000000" w14:paraId="00000006">
      <w:pPr>
        <w:pageBreakBefore w:val="0"/>
        <w:spacing w:after="0" w:before="40" w:line="252.00000000000003" w:lineRule="auto"/>
        <w:jc w:val="both"/>
        <w:rPr>
          <w:rFonts w:ascii="Helvetica Neue" w:cs="Helvetica Neue" w:eastAsia="Helvetica Neue" w:hAnsi="Helvetica Neue"/>
          <w:sz w:val="4"/>
          <w:szCs w:val="4"/>
        </w:rPr>
      </w:pPr>
      <w:r w:rsidDel="00000000" w:rsidR="00000000" w:rsidRPr="00000000">
        <w:rPr>
          <w:rtl w:val="0"/>
        </w:rPr>
      </w:r>
    </w:p>
    <w:p w:rsidR="00000000" w:rsidDel="00000000" w:rsidP="00000000" w:rsidRDefault="00000000" w:rsidRPr="00000000" w14:paraId="00000007">
      <w:pPr>
        <w:pageBreakBefore w:val="0"/>
        <w:spacing w:after="0" w:before="40" w:line="252.00000000000003" w:lineRule="auto"/>
        <w:jc w:val="both"/>
        <w:rPr>
          <w:rFonts w:ascii="Helvetica Neue" w:cs="Helvetica Neue" w:eastAsia="Helvetica Neue" w:hAnsi="Helvetica Neue"/>
          <w:sz w:val="21"/>
          <w:szCs w:val="21"/>
          <w:vertAlign w:val="superscript"/>
        </w:rPr>
      </w:pPr>
      <w:r w:rsidDel="00000000" w:rsidR="00000000" w:rsidRPr="00000000">
        <w:rPr>
          <w:rFonts w:ascii="Helvetica Neue" w:cs="Helvetica Neue" w:eastAsia="Helvetica Neue" w:hAnsi="Helvetica Neue"/>
          <w:sz w:val="21"/>
          <w:szCs w:val="21"/>
          <w:rtl w:val="0"/>
        </w:rPr>
        <w:t xml:space="preserve">A decisive moment for determining how the global community can realise its vision for “living in harmony with nature” by 2050, countries and stakeholders are working to finalise the post-2020 Global Biodiversity Framework (GBF)</w:t>
      </w:r>
      <w:r w:rsidDel="00000000" w:rsidR="00000000" w:rsidRPr="00000000">
        <w:rPr>
          <w:rFonts w:ascii="Helvetica Neue" w:cs="Helvetica Neue" w:eastAsia="Helvetica Neue" w:hAnsi="Helvetica Neue"/>
          <w:sz w:val="21"/>
          <w:szCs w:val="21"/>
          <w:vertAlign w:val="superscript"/>
        </w:rPr>
        <w:footnoteReference w:customMarkFollows="0" w:id="0"/>
      </w:r>
      <w:r w:rsidDel="00000000" w:rsidR="00000000" w:rsidRPr="00000000">
        <w:rPr>
          <w:rFonts w:ascii="Helvetica Neue" w:cs="Helvetica Neue" w:eastAsia="Helvetica Neue" w:hAnsi="Helvetica Neue"/>
          <w:sz w:val="21"/>
          <w:szCs w:val="21"/>
          <w:rtl w:val="0"/>
        </w:rPr>
        <w:t xml:space="preserve"> in time for this year’s Conference of Parties (COP) to the Convention on Biological Diversity (CBD). To achieve its ambitious goals, the GBF and its supporting implementation measure must address the pervasive drivers of biodiversity loss and meet the needs of people in all their diversity, not least those who directly depend on natural resources for their lives and livelihoods, in order to secure a healthy and peaceful planet. This includes ensuring that all people, and in particular women and girls and gender minorities who are so commonly disenfranchised, have the same rights to contribute to and benefit from conservation and the sustainable use of biodiversity – and that they enjoy their human rights to do so in a </w:t>
      </w:r>
      <w:r w:rsidDel="00000000" w:rsidR="00000000" w:rsidRPr="00000000">
        <w:rPr>
          <w:rFonts w:ascii="Helvetica Neue" w:cs="Helvetica Neue" w:eastAsia="Helvetica Neue" w:hAnsi="Helvetica Neue"/>
          <w:sz w:val="21"/>
          <w:szCs w:val="21"/>
          <w:rtl w:val="0"/>
        </w:rPr>
        <w:t xml:space="preserve">clean, healthy, sustainable and</w:t>
      </w:r>
      <w:r w:rsidDel="00000000" w:rsidR="00000000" w:rsidRPr="00000000">
        <w:rPr>
          <w:rFonts w:ascii="Helvetica Neue" w:cs="Helvetica Neue" w:eastAsia="Helvetica Neue" w:hAnsi="Helvetica Neue"/>
          <w:sz w:val="21"/>
          <w:szCs w:val="21"/>
          <w:rtl w:val="0"/>
        </w:rPr>
        <w:t xml:space="preserve"> safe environment free from gender-based violence (GBV).</w:t>
      </w:r>
      <w:r w:rsidDel="00000000" w:rsidR="00000000" w:rsidRPr="00000000">
        <w:rPr>
          <w:rFonts w:ascii="Helvetica Neue" w:cs="Helvetica Neue" w:eastAsia="Helvetica Neue" w:hAnsi="Helvetica Neue"/>
          <w:sz w:val="21"/>
          <w:szCs w:val="21"/>
          <w:vertAlign w:val="superscript"/>
        </w:rPr>
        <w:footnoteReference w:customMarkFollows="0" w:id="1"/>
      </w:r>
      <w:r w:rsidDel="00000000" w:rsidR="00000000" w:rsidRPr="00000000">
        <w:rPr>
          <w:rtl w:val="0"/>
        </w:rPr>
      </w:r>
    </w:p>
    <w:p w:rsidR="00000000" w:rsidDel="00000000" w:rsidP="00000000" w:rsidRDefault="00000000" w:rsidRPr="00000000" w14:paraId="00000008">
      <w:pPr>
        <w:pageBreakBefore w:val="0"/>
        <w:spacing w:after="0" w:before="0" w:line="252.00000000000003" w:lineRule="auto"/>
        <w:jc w:val="center"/>
        <w:rPr>
          <w:rFonts w:ascii="Helvetica Neue" w:cs="Helvetica Neue" w:eastAsia="Helvetica Neue" w:hAnsi="Helvetica Neue"/>
          <w:sz w:val="6"/>
          <w:szCs w:val="6"/>
          <w:vertAlign w:val="superscript"/>
        </w:rPr>
      </w:pPr>
      <w:r w:rsidDel="00000000" w:rsidR="00000000" w:rsidRPr="00000000">
        <w:rPr>
          <w:rtl w:val="0"/>
        </w:rPr>
      </w:r>
    </w:p>
    <w:tbl>
      <w:tblPr>
        <w:tblStyle w:val="Table2"/>
        <w:tblW w:w="104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10"/>
        <w:gridCol w:w="240"/>
        <w:gridCol w:w="4305"/>
        <w:tblGridChange w:id="0">
          <w:tblGrid>
            <w:gridCol w:w="5910"/>
            <w:gridCol w:w="240"/>
            <w:gridCol w:w="4305"/>
          </w:tblGrid>
        </w:tblGridChange>
      </w:tblGrid>
      <w:tr>
        <w:trPr>
          <w:cantSplit w:val="0"/>
          <w:trHeight w:val="3442.517822265626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after="0" w:before="0" w:line="252.00000000000003" w:lineRule="auto"/>
              <w:ind w:left="-90" w:right="45"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Evidence from across natural resource sectors shows that GBV is pervasively employed as a means by which to negotiate, exploit and control land and resources (</w:t>
            </w:r>
            <w:hyperlink r:id="rId9">
              <w:r w:rsidDel="00000000" w:rsidR="00000000" w:rsidRPr="00000000">
                <w:rPr>
                  <w:rFonts w:ascii="Helvetica Neue" w:cs="Helvetica Neue" w:eastAsia="Helvetica Neue" w:hAnsi="Helvetica Neue"/>
                  <w:color w:val="1155cc"/>
                  <w:sz w:val="21"/>
                  <w:szCs w:val="21"/>
                  <w:u w:val="single"/>
                  <w:rtl w:val="0"/>
                </w:rPr>
                <w:t xml:space="preserve">Castañeda et al., 2020</w:t>
              </w:r>
            </w:hyperlink>
            <w:r w:rsidDel="00000000" w:rsidR="00000000" w:rsidRPr="00000000">
              <w:rPr>
                <w:rFonts w:ascii="Helvetica Neue" w:cs="Helvetica Neue" w:eastAsia="Helvetica Neue" w:hAnsi="Helvetica Neue"/>
                <w:sz w:val="21"/>
                <w:szCs w:val="21"/>
                <w:rtl w:val="0"/>
              </w:rPr>
              <w:t xml:space="preserve">). The COVID-19 pandemic has further brought to light how interlinked crises result in the exacerbation of GBV, a warning signal for policymakers, funders and practitioners, as the impacts of climate change and biodiversity loss already trigger new, exacerbated and varied violence across public and private spheres (</w:t>
            </w:r>
            <w:hyperlink r:id="rId10">
              <w:r w:rsidDel="00000000" w:rsidR="00000000" w:rsidRPr="00000000">
                <w:rPr>
                  <w:rFonts w:ascii="Helvetica Neue" w:cs="Helvetica Neue" w:eastAsia="Helvetica Neue" w:hAnsi="Helvetica Neue"/>
                  <w:color w:val="1155cc"/>
                  <w:sz w:val="21"/>
                  <w:szCs w:val="21"/>
                  <w:u w:val="single"/>
                  <w:rtl w:val="0"/>
                </w:rPr>
                <w:t xml:space="preserve">IUCN, 2020</w:t>
              </w:r>
            </w:hyperlink>
            <w:r w:rsidDel="00000000" w:rsidR="00000000" w:rsidRPr="00000000">
              <w:rPr>
                <w:rFonts w:ascii="Helvetica Neue" w:cs="Helvetica Neue" w:eastAsia="Helvetica Neue" w:hAnsi="Helvetica Neue"/>
                <w:sz w:val="21"/>
                <w:szCs w:val="21"/>
                <w:rtl w:val="0"/>
              </w:rPr>
              <w:t xml:space="preserve">). Gender-responsive action, including particular attention to GBV elimination, is fundamental to an inclusive recovery and a sustainable future (</w:t>
            </w:r>
            <w:hyperlink r:id="rId11">
              <w:r w:rsidDel="00000000" w:rsidR="00000000" w:rsidRPr="00000000">
                <w:rPr>
                  <w:rFonts w:ascii="Helvetica Neue" w:cs="Helvetica Neue" w:eastAsia="Helvetica Neue" w:hAnsi="Helvetica Neue"/>
                  <w:color w:val="0563c1"/>
                  <w:sz w:val="21"/>
                  <w:szCs w:val="21"/>
                  <w:u w:val="single"/>
                  <w:rtl w:val="0"/>
                </w:rPr>
                <w:t xml:space="preserve">UN, 2020</w:t>
              </w:r>
            </w:hyperlink>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sz w:val="21"/>
                <w:szCs w:val="21"/>
                <w:rtl w:val="0"/>
              </w:rPr>
              <w:t xml:space="preserve">Furthermore, measures to eliminate GBV can contribute to curbing practices harmful to biodiversity and creating the enabling conditions necessary for more sustainable management of natural resources.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pageBreakBefore w:val="0"/>
              <w:spacing w:after="0" w:before="40" w:line="252.00000000000003" w:lineRule="auto"/>
              <w:ind w:left="90" w:right="690" w:firstLine="0"/>
              <w:rPr>
                <w:rFonts w:ascii="Helvetica Neue" w:cs="Helvetica Neue" w:eastAsia="Helvetica Neue" w:hAnsi="Helvetica Neue"/>
                <w:b w:val="1"/>
                <w:sz w:val="19"/>
                <w:szCs w:val="1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after="0" w:before="40" w:line="252.00000000000003" w:lineRule="auto"/>
              <w:ind w:left="90" w:right="885"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Gender-based violence (GBV)</w:t>
            </w:r>
            <w:r w:rsidDel="00000000" w:rsidR="00000000" w:rsidRPr="00000000">
              <w:rPr>
                <w:rFonts w:ascii="Helvetica Neue" w:cs="Helvetica Neue" w:eastAsia="Helvetica Neue" w:hAnsi="Helvetica Neue"/>
                <w:sz w:val="19"/>
                <w:szCs w:val="19"/>
                <w:rtl w:val="0"/>
              </w:rPr>
              <w:t xml:space="preserve"> </w:t>
            </w:r>
          </w:p>
          <w:p w:rsidR="00000000" w:rsidDel="00000000" w:rsidP="00000000" w:rsidRDefault="00000000" w:rsidRPr="00000000" w14:paraId="0000000C">
            <w:pPr>
              <w:pageBreakBefore w:val="0"/>
              <w:spacing w:after="0" w:before="40" w:line="252.00000000000003" w:lineRule="auto"/>
              <w:ind w:left="90" w:right="885"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any harm or potential of harm perpetrated against a person or group based on gender. The term encompasses many forms and expressions of violence, including but not limited to: physical, sexual and emotional abuse; sexual harassment; stalking; rape, including “corrective” rape and rape as a tactic of conflict; domestic violence and intimate partner violence (IPV); child marriage; human trafficking; female genital mutilation; property grabbing and disinheritance (Castañeda et al., 2020). </w:t>
            </w:r>
          </w:p>
        </w:tc>
      </w:tr>
    </w:tbl>
    <w:p w:rsidR="00000000" w:rsidDel="00000000" w:rsidP="00000000" w:rsidRDefault="00000000" w:rsidRPr="00000000" w14:paraId="0000000D">
      <w:pPr>
        <w:pageBreakBefore w:val="0"/>
        <w:spacing w:after="0" w:before="40" w:line="252.00000000000003" w:lineRule="auto"/>
        <w:rPr>
          <w:rFonts w:ascii="Helvetica Neue" w:cs="Helvetica Neue" w:eastAsia="Helvetica Neue" w:hAnsi="Helvetica Neue"/>
          <w:sz w:val="2"/>
          <w:szCs w:val="2"/>
        </w:rPr>
      </w:pPr>
      <w:r w:rsidDel="00000000" w:rsidR="00000000" w:rsidRPr="00000000">
        <w:rPr>
          <w:rtl w:val="0"/>
        </w:rPr>
      </w:r>
    </w:p>
    <w:p w:rsidR="00000000" w:rsidDel="00000000" w:rsidP="00000000" w:rsidRDefault="00000000" w:rsidRPr="00000000" w14:paraId="0000000E">
      <w:pPr>
        <w:pageBreakBefore w:val="0"/>
        <w:spacing w:after="0" w:before="40" w:line="252.00000000000003"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This Briefing Note reviews key evidence on GBV and biodiversity linkages and suggests priority recommendations that decision-makers at all levels can consider for realising robust gender-responsive action. </w:t>
      </w:r>
    </w:p>
    <w:p w:rsidR="00000000" w:rsidDel="00000000" w:rsidP="00000000" w:rsidRDefault="00000000" w:rsidRPr="00000000" w14:paraId="0000000F">
      <w:pPr>
        <w:pageBreakBefore w:val="0"/>
        <w:spacing w:after="0" w:before="40" w:line="252.00000000000003" w:lineRule="auto"/>
        <w:jc w:val="both"/>
        <w:rPr>
          <w:rFonts w:ascii="Helvetica Neue" w:cs="Helvetica Neue" w:eastAsia="Helvetica Neue" w:hAnsi="Helvetica Neue"/>
          <w:sz w:val="12"/>
          <w:szCs w:val="12"/>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2.00000000000003"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rg5eyba5uduu" w:id="4"/>
      <w:bookmarkEnd w:id="4"/>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Biodiversity and GBV linkages </w:t>
      </w:r>
    </w:p>
    <w:p w:rsidR="00000000" w:rsidDel="00000000" w:rsidP="00000000" w:rsidRDefault="00000000" w:rsidRPr="00000000" w14:paraId="00000011">
      <w:pPr>
        <w:pageBreakBefore w:val="0"/>
        <w:spacing w:after="200" w:before="40" w:line="252.00000000000003"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 violation of human rights</w:t>
      </w:r>
      <w:r w:rsidDel="00000000" w:rsidR="00000000" w:rsidRPr="00000000">
        <w:rPr>
          <w:rFonts w:ascii="Helvetica Neue" w:cs="Helvetica Neue" w:eastAsia="Helvetica Neue" w:hAnsi="Helvetica Neue"/>
          <w:sz w:val="21"/>
          <w:szCs w:val="21"/>
          <w:rtl w:val="0"/>
        </w:rPr>
        <w:t xml:space="preserve"> and a barrier to all people’s – and whole communities’ – ability to realise their full potential, GBV is evident across sectors and spheres as a means to control and exploit power imbalances related to using and benefitting from land, biodiversity and ecosystem services. A vicious feedback loop, pervasive GBV is a symptom of gender inequality, cyclically holding inequities of various kinds intact – including to the detriment of biodiversity. </w:t>
      </w:r>
    </w:p>
    <w:p w:rsidR="00000000" w:rsidDel="00000000" w:rsidP="00000000" w:rsidRDefault="00000000" w:rsidRPr="00000000" w14:paraId="00000012">
      <w:pPr>
        <w:pageBreakBefore w:val="0"/>
        <w:spacing w:after="120" w:before="40" w:line="252.00000000000003" w:lineRule="auto"/>
        <w:jc w:val="both"/>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For example, women’s widespread lack of legal rights to control land and resources is not only a pervasive form of gender inequality, but GBV is often used to ensure these conditions are maintained – enabling property grabbing, limiting women’s access to decision-making spheres (where they are further excluded because they are not landholders), and restricting influence on conservation activities – all which affect biodiversity safeguarding and sustain discriminatory </w:t>
      </w:r>
      <w:r w:rsidDel="00000000" w:rsidR="00000000" w:rsidRPr="00000000">
        <w:rPr>
          <w:rFonts w:ascii="Helvetica Neue" w:cs="Helvetica Neue" w:eastAsia="Helvetica Neue" w:hAnsi="Helvetica Neue"/>
          <w:i w:val="1"/>
          <w:sz w:val="19"/>
          <w:szCs w:val="19"/>
          <w:rtl w:val="0"/>
        </w:rPr>
        <w:t xml:space="preserve">status quo.</w:t>
      </w:r>
      <w:r w:rsidDel="00000000" w:rsidR="00000000" w:rsidRPr="00000000">
        <w:rPr>
          <w:rFonts w:ascii="Helvetica Neue" w:cs="Helvetica Neue" w:eastAsia="Helvetica Neue" w:hAnsi="Helvetica Neue"/>
          <w:i w:val="1"/>
          <w:sz w:val="19"/>
          <w:szCs w:val="19"/>
          <w:rtl w:val="0"/>
        </w:rPr>
        <w:t xml:space="preserve"> </w:t>
      </w:r>
    </w:p>
    <w:p w:rsidR="00000000" w:rsidDel="00000000" w:rsidP="00000000" w:rsidRDefault="00000000" w:rsidRPr="00000000" w14:paraId="00000013">
      <w:pPr>
        <w:pageBreakBefore w:val="0"/>
        <w:spacing w:after="160" w:before="160" w:line="252.00000000000003"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Pressures on ecosystems and reduced availability of resources can escalate and exacerbate incidence and patterns of GBV, including the violence perpetrated against women environmental human rights defenders whose actions are at the forefront to protect and counteract threats to the environment. In addition to the immediate impacts of GBV (e.g. thwarting attempts to protect resources or access decision-making spheres; exert force over individuals, families, communities), the long term physical, mental and social effects on survivors can seriously impact conservation and sustainable development strategies and outcome.</w:t>
      </w:r>
    </w:p>
    <w:p w:rsidR="00000000" w:rsidDel="00000000" w:rsidP="00000000" w:rsidRDefault="00000000" w:rsidRPr="00000000" w14:paraId="00000014">
      <w:pPr>
        <w:pageBreakBefore w:val="0"/>
        <w:spacing w:after="80" w:before="40" w:line="252.00000000000003" w:lineRule="auto"/>
        <w:jc w:val="both"/>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For example, GBV impacts on survivors can prevent effective engagement in economic, educational and conservation opportunities, including tapping associated benefits and opportunities. This means a loss of gender-differentiated and traditional knowledge and capacities that will hinder conservation efforts – </w:t>
      </w:r>
      <w:r w:rsidDel="00000000" w:rsidR="00000000" w:rsidRPr="00000000">
        <w:rPr>
          <w:rFonts w:ascii="Helvetica Neue" w:cs="Helvetica Neue" w:eastAsia="Helvetica Neue" w:hAnsi="Helvetica Neue"/>
          <w:i w:val="1"/>
          <w:sz w:val="19"/>
          <w:szCs w:val="19"/>
          <w:rtl w:val="0"/>
        </w:rPr>
        <w:t xml:space="preserve">in addition to cyclical expressions of control and oppression</w:t>
      </w:r>
      <w:r w:rsidDel="00000000" w:rsidR="00000000" w:rsidRPr="00000000">
        <w:rPr>
          <w:rFonts w:ascii="Helvetica Neue" w:cs="Helvetica Neue" w:eastAsia="Helvetica Neue" w:hAnsi="Helvetica Neue"/>
          <w:i w:val="1"/>
          <w:sz w:val="19"/>
          <w:szCs w:val="19"/>
          <w:rtl w:val="0"/>
        </w:rPr>
        <w:t xml:space="preserve">.  </w:t>
      </w:r>
    </w:p>
    <w:p w:rsidR="00000000" w:rsidDel="00000000" w:rsidP="00000000" w:rsidRDefault="00000000" w:rsidRPr="00000000" w14:paraId="00000015">
      <w:pPr>
        <w:pageBreakBefore w:val="0"/>
        <w:spacing w:after="120" w:before="40" w:line="252.00000000000003" w:lineRule="auto"/>
        <w:jc w:val="both"/>
        <w:rPr>
          <w:rFonts w:ascii="Helvetica Neue" w:cs="Helvetica Neue" w:eastAsia="Helvetica Neue" w:hAnsi="Helvetica Neue"/>
          <w:i w:val="1"/>
          <w:sz w:val="2"/>
          <w:szCs w:val="2"/>
        </w:rPr>
      </w:pPr>
      <w:r w:rsidDel="00000000" w:rsidR="00000000" w:rsidRPr="00000000">
        <w:rPr>
          <w:rtl w:val="0"/>
        </w:rPr>
      </w:r>
    </w:p>
    <w:tbl>
      <w:tblPr>
        <w:tblStyle w:val="Table3"/>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tblGridChange w:id="0">
          <w:tblGrid>
            <w:gridCol w:w="9015"/>
          </w:tblGrid>
        </w:tblGridChange>
      </w:tblGrid>
      <w:tr>
        <w:trPr>
          <w:cantSplit w:val="0"/>
          <w:trHeight w:val="526.11865234375" w:hRule="atLeast"/>
          <w:tblHeader w:val="0"/>
        </w:trPr>
        <w:tc>
          <w:tcPr>
            <w:tcBorders>
              <w:top w:color="000000" w:space="0" w:sz="0" w:val="nil"/>
              <w:left w:color="000000" w:space="0" w:sz="0" w:val="nil"/>
              <w:bottom w:color="000000" w:space="0" w:sz="0" w:val="nil"/>
              <w:right w:color="000000" w:space="0" w:sz="0" w:val="nil"/>
            </w:tcBorders>
            <w:shd w:fill="1f3863"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0" w:before="40" w:line="252.00000000000003" w:lineRule="auto"/>
              <w:jc w:val="center"/>
              <w:rPr>
                <w:rFonts w:ascii="Helvetica Neue" w:cs="Helvetica Neue" w:eastAsia="Helvetica Neue" w:hAnsi="Helvetica Neue"/>
                <w:b w:val="1"/>
                <w:color w:val="ffffff"/>
              </w:rPr>
            </w:pPr>
            <w:r w:rsidDel="00000000" w:rsidR="00000000" w:rsidRPr="00000000">
              <w:rPr>
                <w:rFonts w:ascii="Helvetica Neue" w:cs="Helvetica Neue" w:eastAsia="Helvetica Neue" w:hAnsi="Helvetica Neue"/>
                <w:b w:val="1"/>
                <w:color w:val="ffffff"/>
                <w:rtl w:val="0"/>
              </w:rPr>
              <w:t xml:space="preserve">Examples of GBV-biodiversity linkages</w:t>
            </w:r>
          </w:p>
        </w:tc>
      </w:tr>
      <w:tr>
        <w:trPr>
          <w:cantSplit w:val="0"/>
          <w:tblHeader w:val="0"/>
        </w:trPr>
        <w:tc>
          <w:tcPr>
            <w:tcBorders>
              <w:top w:color="000000" w:space="0" w:sz="0" w:val="nil"/>
              <w:left w:color="000000" w:space="0" w:sz="0" w:val="nil"/>
              <w:bottom w:color="000000" w:space="0" w:sz="0" w:val="nil"/>
              <w:right w:color="000000" w:space="0" w:sz="0" w:val="nil"/>
            </w:tcBorders>
            <w:shd w:fill="deebf7" w:val="clear"/>
            <w:tcMar>
              <w:top w:w="100.0" w:type="dxa"/>
              <w:left w:w="100.0" w:type="dxa"/>
              <w:bottom w:w="100.0" w:type="dxa"/>
              <w:right w:w="100.0" w:type="dxa"/>
            </w:tcMar>
            <w:vAlign w:val="top"/>
          </w:tcPr>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52.00000000000003" w:lineRule="auto"/>
              <w:ind w:left="0" w:right="165" w:firstLine="0"/>
              <w:jc w:val="center"/>
              <w:rPr>
                <w:rFonts w:ascii="Helvetica Neue" w:cs="Helvetica Neue" w:eastAsia="Helvetica Neue" w:hAnsi="Helvetica Neue"/>
                <w:b w:val="1"/>
                <w:i w:val="0"/>
                <w:smallCaps w:val="0"/>
                <w:strike w:val="0"/>
                <w:color w:val="1f3863"/>
                <w:sz w:val="20"/>
                <w:szCs w:val="20"/>
                <w:u w:val="none"/>
                <w:shd w:fill="auto" w:val="clear"/>
                <w:vertAlign w:val="baseline"/>
              </w:rPr>
            </w:pPr>
            <w:bookmarkStart w:colFirst="0" w:colLast="0" w:name="_heading=h.ysf5422bi4w" w:id="5"/>
            <w:bookmarkEnd w:id="5"/>
            <w:r w:rsidDel="00000000" w:rsidR="00000000" w:rsidRPr="00000000">
              <w:rPr>
                <w:rFonts w:ascii="Helvetica Neue" w:cs="Helvetica Neue" w:eastAsia="Helvetica Neue" w:hAnsi="Helvetica Neue"/>
                <w:b w:val="1"/>
                <w:i w:val="0"/>
                <w:smallCaps w:val="0"/>
                <w:strike w:val="0"/>
                <w:color w:val="1f3863"/>
                <w:sz w:val="20"/>
                <w:szCs w:val="20"/>
                <w:u w:val="none"/>
                <w:shd w:fill="auto" w:val="clear"/>
                <w:vertAlign w:val="baseline"/>
                <w:rtl w:val="0"/>
              </w:rPr>
              <w:t xml:space="preserve">GBV as means of control over biodiversity and ecosystem services</w:t>
            </w:r>
          </w:p>
          <w:p w:rsidR="00000000" w:rsidDel="00000000" w:rsidP="00000000" w:rsidRDefault="00000000" w:rsidRPr="00000000" w14:paraId="00000018">
            <w:pPr>
              <w:pageBreakBefore w:val="0"/>
              <w:numPr>
                <w:ilvl w:val="0"/>
                <w:numId w:val="7"/>
              </w:numPr>
              <w:spacing w:after="100" w:before="40" w:line="252.00000000000003" w:lineRule="auto"/>
              <w:ind w:left="450" w:right="165" w:hanging="36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20"/>
                <w:szCs w:val="20"/>
                <w:u w:val="single"/>
                <w:rtl w:val="0"/>
              </w:rPr>
              <w:t xml:space="preserve">Violence as an occupational hazard in informal work:</w:t>
            </w:r>
            <w:r w:rsidDel="00000000" w:rsidR="00000000" w:rsidRPr="00000000">
              <w:rPr>
                <w:rFonts w:ascii="Helvetica Neue" w:cs="Helvetica Neue" w:eastAsia="Helvetica Neue" w:hAnsi="Helvetica Neue"/>
                <w:sz w:val="20"/>
                <w:szCs w:val="20"/>
                <w:rtl w:val="0"/>
              </w:rPr>
              <w:t xml:space="preserve"> Around the world, women and girls are predominantly responsible for daily water, food and fuel collection and are often directly in the path of harm while obtaining these resources. Documentation shows women and children experience physical and sexual assault, abuse and harassment – including being raped and killed en route. When their access to natural resources is interrupted (e.g., when women are denied access to their traditional territories when they are turned into protected areas and private lands) guards and property owners have been documented committing these acts of violence as well.</w:t>
            </w:r>
            <w:r w:rsidDel="00000000" w:rsidR="00000000" w:rsidRPr="00000000">
              <w:rPr>
                <w:rtl w:val="0"/>
              </w:rPr>
            </w:r>
          </w:p>
          <w:p w:rsidR="00000000" w:rsidDel="00000000" w:rsidP="00000000" w:rsidRDefault="00000000" w:rsidRPr="00000000" w14:paraId="00000019">
            <w:pPr>
              <w:pageBreakBefore w:val="0"/>
              <w:numPr>
                <w:ilvl w:val="0"/>
                <w:numId w:val="7"/>
              </w:numPr>
              <w:spacing w:after="100" w:before="40" w:line="252.00000000000003" w:lineRule="auto"/>
              <w:ind w:left="450" w:right="165" w:hanging="36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20"/>
                <w:szCs w:val="20"/>
                <w:u w:val="single"/>
                <w:rtl w:val="0"/>
              </w:rPr>
              <w:t xml:space="preserve">Violence to promote male control over land:</w:t>
            </w:r>
            <w:r w:rsidDel="00000000" w:rsidR="00000000" w:rsidRPr="00000000">
              <w:rPr>
                <w:rFonts w:ascii="Helvetica Neue" w:cs="Helvetica Neue" w:eastAsia="Helvetica Neue" w:hAnsi="Helvetica Neue"/>
                <w:sz w:val="20"/>
                <w:szCs w:val="20"/>
                <w:rtl w:val="0"/>
              </w:rPr>
              <w:t xml:space="preserve"> At times, family members use physical and psychological threats and violence to prevent women’s lawful land and property inheritance and rights. Violence is also used as a tool to facilitate  land grabbing by third parties. These acts of violence are often anchored in social and customary norms that deny women land and property rights. In some studies, women’s land ownership can reduce discriminatory gender norms and GBV, increasing economic independence, and access to resources, resulting in the empowerment of women to be able to leave abusive situations.</w:t>
            </w:r>
            <w:r w:rsidDel="00000000" w:rsidR="00000000" w:rsidRPr="00000000">
              <w:rPr>
                <w:rtl w:val="0"/>
              </w:rPr>
            </w:r>
          </w:p>
          <w:p w:rsidR="00000000" w:rsidDel="00000000" w:rsidP="00000000" w:rsidRDefault="00000000" w:rsidRPr="00000000" w14:paraId="0000001A">
            <w:pPr>
              <w:pageBreakBefore w:val="0"/>
              <w:numPr>
                <w:ilvl w:val="0"/>
                <w:numId w:val="7"/>
              </w:numPr>
              <w:spacing w:after="100" w:before="40" w:line="252.00000000000003" w:lineRule="auto"/>
              <w:ind w:left="450" w:right="165" w:hanging="36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20"/>
                <w:szCs w:val="20"/>
                <w:u w:val="single"/>
                <w:rtl w:val="0"/>
              </w:rPr>
              <w:t xml:space="preserve">Violence exacerbates injustice and harm experienced by indigenous women:</w:t>
            </w:r>
            <w:r w:rsidDel="00000000" w:rsidR="00000000" w:rsidRPr="00000000">
              <w:rPr>
                <w:rFonts w:ascii="Helvetica Neue" w:cs="Helvetica Neue" w:eastAsia="Helvetica Neue" w:hAnsi="Helvetica Neue"/>
                <w:sz w:val="20"/>
                <w:szCs w:val="20"/>
                <w:rtl w:val="0"/>
              </w:rPr>
              <w:t xml:space="preserve"> In many regions throughout the world, overlapping discriminations based on gender and ethnicity increases the exposure and risk indigenous women experience to GBV when accessing ecosystem services. These tactics are used, not least, in land grabs, </w:t>
            </w:r>
            <w:r w:rsidDel="00000000" w:rsidR="00000000" w:rsidRPr="00000000">
              <w:rPr>
                <w:rFonts w:ascii="Helvetica Neue" w:cs="Helvetica Neue" w:eastAsia="Helvetica Neue" w:hAnsi="Helvetica Neue"/>
                <w:sz w:val="20"/>
                <w:szCs w:val="20"/>
                <w:rtl w:val="0"/>
              </w:rPr>
              <w:t xml:space="preserve">which not only violate the safety and dignity of individuals</w:t>
            </w:r>
            <w:r w:rsidDel="00000000" w:rsidR="00000000" w:rsidRPr="00000000">
              <w:rPr>
                <w:rFonts w:ascii="Helvetica Neue" w:cs="Helvetica Neue" w:eastAsia="Helvetica Neue" w:hAnsi="Helvetica Neue"/>
                <w:sz w:val="20"/>
                <w:szCs w:val="20"/>
                <w:rtl w:val="0"/>
              </w:rPr>
              <w:t xml:space="preserve">, but can also cause displacement and the loss of livelihoods, identities and cultures.</w:t>
            </w:r>
            <w:r w:rsidDel="00000000" w:rsidR="00000000" w:rsidRPr="00000000">
              <w:rPr>
                <w:rtl w:val="0"/>
              </w:rPr>
            </w:r>
          </w:p>
          <w:p w:rsidR="00000000" w:rsidDel="00000000" w:rsidP="00000000" w:rsidRDefault="00000000" w:rsidRPr="00000000" w14:paraId="0000001B">
            <w:pPr>
              <w:pageBreakBefore w:val="0"/>
              <w:numPr>
                <w:ilvl w:val="0"/>
                <w:numId w:val="7"/>
              </w:numPr>
              <w:spacing w:after="100" w:before="40" w:line="252.00000000000003" w:lineRule="auto"/>
              <w:ind w:left="450" w:right="165" w:hanging="36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20"/>
                <w:szCs w:val="20"/>
                <w:u w:val="single"/>
                <w:rtl w:val="0"/>
              </w:rPr>
              <w:t xml:space="preserve">Violence for extorting rights to natural resources for livelihoods:</w:t>
            </w:r>
            <w:r w:rsidDel="00000000" w:rsidR="00000000" w:rsidRPr="00000000">
              <w:rPr>
                <w:rFonts w:ascii="Helvetica Neue" w:cs="Helvetica Neue" w:eastAsia="Helvetica Neue" w:hAnsi="Helvetica Neue"/>
                <w:sz w:val="20"/>
                <w:szCs w:val="20"/>
                <w:rtl w:val="0"/>
              </w:rPr>
              <w:t xml:space="preserve"> In environment sectors, transactional sex is a form of exploitative GBV that is used to pressure women into nonconsensual sex in order to secure access to ecosystem resources and benefits that are necessary for economic survival and sustenance. </w:t>
            </w:r>
            <w:r w:rsidDel="00000000" w:rsidR="00000000" w:rsidRPr="00000000">
              <w:rPr>
                <w:rtl w:val="0"/>
              </w:rPr>
            </w:r>
          </w:p>
          <w:p w:rsidR="00000000" w:rsidDel="00000000" w:rsidP="00000000" w:rsidRDefault="00000000" w:rsidRPr="00000000" w14:paraId="0000001C">
            <w:pPr>
              <w:pageBreakBefore w:val="0"/>
              <w:numPr>
                <w:ilvl w:val="0"/>
                <w:numId w:val="7"/>
              </w:numPr>
              <w:spacing w:after="100" w:before="40" w:line="252.00000000000003" w:lineRule="auto"/>
              <w:ind w:left="450" w:right="165" w:hanging="36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20"/>
                <w:szCs w:val="20"/>
                <w:u w:val="single"/>
                <w:rtl w:val="0"/>
              </w:rPr>
              <w:t xml:space="preserve">Violence to maintain unequal gender roles in environment-related sectors:</w:t>
            </w:r>
            <w:r w:rsidDel="00000000" w:rsidR="00000000" w:rsidRPr="00000000">
              <w:rPr>
                <w:rFonts w:ascii="Helvetica Neue" w:cs="Helvetica Neue" w:eastAsia="Helvetica Neue" w:hAnsi="Helvetica Neue"/>
                <w:sz w:val="20"/>
                <w:szCs w:val="20"/>
                <w:rtl w:val="0"/>
              </w:rPr>
              <w:t xml:space="preserve"> At times, projects and activism can challenge existing power dynamics. Evidence shows that when monetary and natural resource benefits, productive assets and decision-making roles are introduced to women without addressing gender inequality, women’s empowerment and gender and social norms, GBV can arise within communities and families.</w:t>
            </w:r>
            <w:r w:rsidDel="00000000" w:rsidR="00000000" w:rsidRPr="00000000">
              <w:rPr>
                <w:rtl w:val="0"/>
              </w:rPr>
            </w:r>
          </w:p>
          <w:p w:rsidR="00000000" w:rsidDel="00000000" w:rsidP="00000000" w:rsidRDefault="00000000" w:rsidRPr="00000000" w14:paraId="0000001D">
            <w:pPr>
              <w:pageBreakBefore w:val="0"/>
              <w:spacing w:after="0" w:before="40" w:line="252.00000000000003" w:lineRule="auto"/>
              <w:ind w:right="75"/>
              <w:rPr>
                <w:rFonts w:ascii="Helvetica Neue" w:cs="Helvetica Neue" w:eastAsia="Helvetica Neue" w:hAnsi="Helvetica Neue"/>
                <w:i w:val="1"/>
                <w:sz w:val="18"/>
                <w:szCs w:val="18"/>
              </w:rPr>
            </w:pPr>
            <w:r w:rsidDel="00000000" w:rsidR="00000000" w:rsidRPr="00000000">
              <w:rPr>
                <w:rFonts w:ascii="Helvetica Neue" w:cs="Helvetica Neue" w:eastAsia="Helvetica Neue" w:hAnsi="Helvetica Neue"/>
                <w:i w:val="1"/>
                <w:sz w:val="18"/>
                <w:szCs w:val="18"/>
                <w:rtl w:val="0"/>
              </w:rPr>
              <w:t xml:space="preserve">Read more </w:t>
            </w:r>
            <w:hyperlink r:id="rId12">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2 of Gender-Based Violence and Environment Linkages: The Violence of Inequality</w:t>
            </w:r>
          </w:p>
        </w:tc>
      </w:tr>
      <w:tr>
        <w:trPr>
          <w:cantSplit w:val="0"/>
          <w:trHeight w:val="3028.9599609375" w:hRule="atLeast"/>
          <w:tblHeader w:val="0"/>
        </w:trPr>
        <w:tc>
          <w:tcPr>
            <w:tcBorders>
              <w:top w:color="000000" w:space="0" w:sz="0" w:val="nil"/>
              <w:left w:color="000000" w:space="0" w:sz="0" w:val="nil"/>
              <w:bottom w:color="000000" w:space="0" w:sz="0" w:val="nil"/>
              <w:right w:color="000000" w:space="0" w:sz="0" w:val="nil"/>
            </w:tcBorders>
            <w:shd w:fill="bed3e6" w:val="clear"/>
            <w:tcMar>
              <w:top w:w="100.0" w:type="dxa"/>
              <w:left w:w="100.0" w:type="dxa"/>
              <w:bottom w:w="100.0" w:type="dxa"/>
              <w:right w:w="100.0" w:type="dxa"/>
            </w:tcMar>
            <w:vAlign w:val="top"/>
          </w:tcPr>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52.00000000000003" w:lineRule="auto"/>
              <w:ind w:left="0" w:right="165" w:firstLine="0"/>
              <w:jc w:val="center"/>
              <w:rPr>
                <w:rFonts w:ascii="Helvetica Neue" w:cs="Helvetica Neue" w:eastAsia="Helvetica Neue" w:hAnsi="Helvetica Neue"/>
                <w:b w:val="1"/>
                <w:i w:val="0"/>
                <w:smallCaps w:val="0"/>
                <w:strike w:val="0"/>
                <w:color w:val="1f3863"/>
                <w:sz w:val="20"/>
                <w:szCs w:val="20"/>
                <w:u w:val="none"/>
                <w:shd w:fill="auto" w:val="clear"/>
                <w:vertAlign w:val="baseline"/>
              </w:rPr>
            </w:pPr>
            <w:bookmarkStart w:colFirst="0" w:colLast="0" w:name="_heading=h.73k329ok1vz7" w:id="6"/>
            <w:bookmarkEnd w:id="6"/>
            <w:r w:rsidDel="00000000" w:rsidR="00000000" w:rsidRPr="00000000">
              <w:rPr>
                <w:rFonts w:ascii="Helvetica Neue" w:cs="Helvetica Neue" w:eastAsia="Helvetica Neue" w:hAnsi="Helvetica Neue"/>
                <w:b w:val="1"/>
                <w:i w:val="0"/>
                <w:smallCaps w:val="0"/>
                <w:strike w:val="0"/>
                <w:color w:val="1f3863"/>
                <w:sz w:val="20"/>
                <w:szCs w:val="20"/>
                <w:u w:val="none"/>
                <w:shd w:fill="auto" w:val="clear"/>
                <w:vertAlign w:val="baseline"/>
                <w:rtl w:val="0"/>
              </w:rPr>
              <w:t xml:space="preserve">GBV exacerbated in the context of threats to biodiversity  </w:t>
            </w:r>
          </w:p>
          <w:p w:rsidR="00000000" w:rsidDel="00000000" w:rsidP="00000000" w:rsidRDefault="00000000" w:rsidRPr="00000000" w14:paraId="0000001F">
            <w:pPr>
              <w:pageBreakBefore w:val="0"/>
              <w:numPr>
                <w:ilvl w:val="0"/>
                <w:numId w:val="8"/>
              </w:numPr>
              <w:spacing w:after="100" w:before="40" w:line="252.00000000000003" w:lineRule="auto"/>
              <w:ind w:left="450" w:right="165"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Violence in the shadow of degradation and scarcity:</w:t>
            </w:r>
            <w:r w:rsidDel="00000000" w:rsidR="00000000" w:rsidRPr="00000000">
              <w:rPr>
                <w:rFonts w:ascii="Helvetica Neue" w:cs="Helvetica Neue" w:eastAsia="Helvetica Neue" w:hAnsi="Helvetica Neue"/>
                <w:sz w:val="20"/>
                <w:szCs w:val="20"/>
                <w:rtl w:val="0"/>
              </w:rPr>
              <w:t xml:space="preserve"> Ecosystem degradation and biodiversity loss, whether it is caused by environmental crimes, extractive industries and agribusiness or climate change, can increase tensions over scarce resources at the household and community levels and result in increased human rights violations, including GBV. </w:t>
            </w:r>
            <w:r w:rsidDel="00000000" w:rsidR="00000000" w:rsidRPr="00000000">
              <w:rPr>
                <w:rFonts w:ascii="Helvetica Neue" w:cs="Helvetica Neue" w:eastAsia="Helvetica Neue" w:hAnsi="Helvetica Neue"/>
                <w:i w:val="1"/>
                <w:sz w:val="18"/>
                <w:szCs w:val="18"/>
                <w:rtl w:val="0"/>
              </w:rPr>
              <w:t xml:space="preserve">Read more </w:t>
            </w:r>
            <w:hyperlink r:id="rId13">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3, 4 and 5</w:t>
            </w:r>
            <w:r w:rsidDel="00000000" w:rsidR="00000000" w:rsidRPr="00000000">
              <w:rPr>
                <w:rtl w:val="0"/>
              </w:rPr>
            </w:r>
          </w:p>
          <w:p w:rsidR="00000000" w:rsidDel="00000000" w:rsidP="00000000" w:rsidRDefault="00000000" w:rsidRPr="00000000" w14:paraId="00000020">
            <w:pPr>
              <w:pageBreakBefore w:val="0"/>
              <w:numPr>
                <w:ilvl w:val="0"/>
                <w:numId w:val="8"/>
              </w:numPr>
              <w:spacing w:after="100" w:before="40" w:line="252.00000000000003" w:lineRule="auto"/>
              <w:ind w:left="450" w:right="165"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Violence to facilitate illegal wildlife trafficking:</w:t>
            </w:r>
            <w:r w:rsidDel="00000000" w:rsidR="00000000" w:rsidRPr="00000000">
              <w:rPr>
                <w:rFonts w:ascii="Helvetica Neue" w:cs="Helvetica Neue" w:eastAsia="Helvetica Neue" w:hAnsi="Helvetica Neue"/>
                <w:sz w:val="20"/>
                <w:szCs w:val="20"/>
                <w:rtl w:val="0"/>
              </w:rPr>
              <w:t xml:space="preserve"> Illegal wildlife trafficking is often linked to organised crime and violence. Sexual harassment, abuse and/or rape is used to assert their power over women and girls in the surrounding communities. </w:t>
            </w:r>
            <w:r w:rsidDel="00000000" w:rsidR="00000000" w:rsidRPr="00000000">
              <w:rPr>
                <w:rFonts w:ascii="Helvetica Neue" w:cs="Helvetica Neue" w:eastAsia="Helvetica Neue" w:hAnsi="Helvetica Neue"/>
                <w:i w:val="1"/>
                <w:sz w:val="18"/>
                <w:szCs w:val="18"/>
                <w:rtl w:val="0"/>
              </w:rPr>
              <w:t xml:space="preserve">Read more </w:t>
            </w:r>
            <w:hyperlink r:id="rId14">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3</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1">
            <w:pPr>
              <w:pageBreakBefore w:val="0"/>
              <w:numPr>
                <w:ilvl w:val="0"/>
                <w:numId w:val="1"/>
              </w:numPr>
              <w:spacing w:after="0" w:before="40" w:line="252.00000000000003" w:lineRule="auto"/>
              <w:ind w:left="450" w:right="165"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Violence to abuse and intimidate:</w:t>
            </w:r>
            <w:r w:rsidDel="00000000" w:rsidR="00000000" w:rsidRPr="00000000">
              <w:rPr>
                <w:rFonts w:ascii="Helvetica Neue" w:cs="Helvetica Neue" w:eastAsia="Helvetica Neue" w:hAnsi="Helvetica Neue"/>
                <w:sz w:val="20"/>
                <w:szCs w:val="20"/>
                <w:rtl w:val="0"/>
              </w:rPr>
              <w:t xml:space="preserve"> Paramilitary guards tasked with combatting illegal wildlife trafficking can abuse their power, for example by using sexual violence to punish and extract information from local women. </w:t>
            </w:r>
            <w:r w:rsidDel="00000000" w:rsidR="00000000" w:rsidRPr="00000000">
              <w:rPr>
                <w:rFonts w:ascii="Helvetica Neue" w:cs="Helvetica Neue" w:eastAsia="Helvetica Neue" w:hAnsi="Helvetica Neue"/>
                <w:i w:val="1"/>
                <w:sz w:val="18"/>
                <w:szCs w:val="18"/>
                <w:rtl w:val="0"/>
              </w:rPr>
              <w:t xml:space="preserve">Read more </w:t>
            </w:r>
            <w:hyperlink r:id="rId15">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3 and 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9bb2c8" w:val="clear"/>
            <w:tcMar>
              <w:top w:w="100.0" w:type="dxa"/>
              <w:left w:w="100.0" w:type="dxa"/>
              <w:bottom w:w="100.0" w:type="dxa"/>
              <w:right w:w="100.0" w:type="dxa"/>
            </w:tcMar>
            <w:vAlign w:val="top"/>
          </w:tcPr>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52.00000000000003" w:lineRule="auto"/>
              <w:ind w:left="0" w:right="165" w:firstLine="0"/>
              <w:jc w:val="center"/>
              <w:rPr>
                <w:rFonts w:ascii="Helvetica Neue" w:cs="Helvetica Neue" w:eastAsia="Helvetica Neue" w:hAnsi="Helvetica Neue"/>
                <w:b w:val="1"/>
                <w:i w:val="0"/>
                <w:smallCaps w:val="0"/>
                <w:strike w:val="0"/>
                <w:color w:val="1f3863"/>
                <w:sz w:val="20"/>
                <w:szCs w:val="20"/>
                <w:u w:val="none"/>
                <w:shd w:fill="auto" w:val="clear"/>
                <w:vertAlign w:val="baseline"/>
              </w:rPr>
            </w:pPr>
            <w:bookmarkStart w:colFirst="0" w:colLast="0" w:name="_heading=h.ridkkh59ckh5" w:id="7"/>
            <w:bookmarkEnd w:id="7"/>
            <w:r w:rsidDel="00000000" w:rsidR="00000000" w:rsidRPr="00000000">
              <w:rPr>
                <w:rFonts w:ascii="Helvetica Neue" w:cs="Helvetica Neue" w:eastAsia="Helvetica Neue" w:hAnsi="Helvetica Neue"/>
                <w:b w:val="1"/>
                <w:i w:val="0"/>
                <w:smallCaps w:val="0"/>
                <w:strike w:val="0"/>
                <w:color w:val="1f3863"/>
                <w:sz w:val="20"/>
                <w:szCs w:val="20"/>
                <w:u w:val="none"/>
                <w:shd w:fill="auto" w:val="clear"/>
                <w:vertAlign w:val="baseline"/>
                <w:rtl w:val="0"/>
              </w:rPr>
              <w:t xml:space="preserve">GBV used to shape and control environment work and environmental defence</w:t>
            </w:r>
          </w:p>
          <w:p w:rsidR="00000000" w:rsidDel="00000000" w:rsidP="00000000" w:rsidRDefault="00000000" w:rsidRPr="00000000" w14:paraId="00000023">
            <w:pPr>
              <w:pageBreakBefore w:val="0"/>
              <w:numPr>
                <w:ilvl w:val="0"/>
                <w:numId w:val="2"/>
              </w:numPr>
              <w:spacing w:after="100" w:before="40" w:line="252.00000000000003" w:lineRule="auto"/>
              <w:ind w:left="450" w:right="165"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Violence in environmental workplaces:</w:t>
            </w:r>
            <w:r w:rsidDel="00000000" w:rsidR="00000000" w:rsidRPr="00000000">
              <w:rPr>
                <w:rFonts w:ascii="Helvetica Neue" w:cs="Helvetica Neue" w:eastAsia="Helvetica Neue" w:hAnsi="Helvetica Neue"/>
                <w:sz w:val="20"/>
                <w:szCs w:val="20"/>
                <w:rtl w:val="0"/>
              </w:rPr>
              <w:t xml:space="preserve"> As in other sectors, women conservationists can face various forms of interlinked gender-based bias, discrimination and violence, including psychological and sexual harassment and abuse, e.g. unwanted sexual advances, particularly when working in remote areas. Workplace cultures that allow for gender-based inequality – such as unequal salaries or access to services or promotions – are recognised hazards and risks that support and increase the likelihood of violence and harassment at work as discrimination and unequal power dynamics become normalised. </w:t>
            </w:r>
            <w:r w:rsidDel="00000000" w:rsidR="00000000" w:rsidRPr="00000000">
              <w:rPr>
                <w:rFonts w:ascii="Helvetica Neue" w:cs="Helvetica Neue" w:eastAsia="Helvetica Neue" w:hAnsi="Helvetica Neue"/>
                <w:i w:val="1"/>
                <w:sz w:val="18"/>
                <w:szCs w:val="18"/>
                <w:rtl w:val="0"/>
              </w:rPr>
              <w:t xml:space="preserve">Read more </w:t>
            </w:r>
            <w:hyperlink r:id="rId16">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7</w:t>
            </w:r>
            <w:r w:rsidDel="00000000" w:rsidR="00000000" w:rsidRPr="00000000">
              <w:rPr>
                <w:rtl w:val="0"/>
              </w:rPr>
            </w:r>
          </w:p>
          <w:p w:rsidR="00000000" w:rsidDel="00000000" w:rsidP="00000000" w:rsidRDefault="00000000" w:rsidRPr="00000000" w14:paraId="00000024">
            <w:pPr>
              <w:pageBreakBefore w:val="0"/>
              <w:numPr>
                <w:ilvl w:val="0"/>
                <w:numId w:val="2"/>
              </w:numPr>
              <w:spacing w:after="120" w:before="40" w:line="252.00000000000003" w:lineRule="auto"/>
              <w:ind w:left="450" w:right="165"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Violence to silence environmental defenders:</w:t>
            </w:r>
            <w:r w:rsidDel="00000000" w:rsidR="00000000" w:rsidRPr="00000000">
              <w:rPr>
                <w:rFonts w:ascii="Helvetica Neue" w:cs="Helvetica Neue" w:eastAsia="Helvetica Neue" w:hAnsi="Helvetica Neue"/>
                <w:sz w:val="20"/>
                <w:szCs w:val="20"/>
                <w:rtl w:val="0"/>
              </w:rPr>
              <w:t xml:space="preserve"> Around the world, Women Environmental Human Rights Defenders face various forms of violence which layers of sociocultural gender norms. When indigenous women defenders experience intimidation and threats against them and their children, sexual harassment, online cyber violence and intimidation, rape and murder – in addition to multiple forms of stigmatisation, social osctricism and criminalisation – they have the least access to support and redress mechanisms due to normative and legal inequities. </w:t>
            </w:r>
            <w:r w:rsidDel="00000000" w:rsidR="00000000" w:rsidRPr="00000000">
              <w:rPr>
                <w:rFonts w:ascii="Helvetica Neue" w:cs="Helvetica Neue" w:eastAsia="Helvetica Neue" w:hAnsi="Helvetica Neue"/>
                <w:i w:val="1"/>
                <w:sz w:val="18"/>
                <w:szCs w:val="18"/>
                <w:rtl w:val="0"/>
              </w:rPr>
              <w:t xml:space="preserve">Read more </w:t>
            </w:r>
            <w:hyperlink r:id="rId17">
              <w:r w:rsidDel="00000000" w:rsidR="00000000" w:rsidRPr="00000000">
                <w:rPr>
                  <w:rFonts w:ascii="Helvetica Neue" w:cs="Helvetica Neue" w:eastAsia="Helvetica Neue" w:hAnsi="Helvetica Neue"/>
                  <w:i w:val="1"/>
                  <w:color w:val="1155cc"/>
                  <w:sz w:val="18"/>
                  <w:szCs w:val="18"/>
                  <w:u w:val="single"/>
                  <w:rtl w:val="0"/>
                </w:rPr>
                <w:t xml:space="preserve">here</w:t>
              </w:r>
            </w:hyperlink>
            <w:r w:rsidDel="00000000" w:rsidR="00000000" w:rsidRPr="00000000">
              <w:rPr>
                <w:rFonts w:ascii="Helvetica Neue" w:cs="Helvetica Neue" w:eastAsia="Helvetica Neue" w:hAnsi="Helvetica Neue"/>
                <w:i w:val="1"/>
                <w:sz w:val="18"/>
                <w:szCs w:val="18"/>
                <w:rtl w:val="0"/>
              </w:rPr>
              <w:t xml:space="preserve">, Chapter 6</w:t>
            </w:r>
            <w:r w:rsidDel="00000000" w:rsidR="00000000" w:rsidRPr="00000000">
              <w:rPr>
                <w:rtl w:val="0"/>
              </w:rPr>
            </w:r>
          </w:p>
        </w:tc>
      </w:tr>
    </w:tbl>
    <w:p w:rsidR="00000000" w:rsidDel="00000000" w:rsidP="00000000" w:rsidRDefault="00000000" w:rsidRPr="00000000" w14:paraId="00000025">
      <w:pPr>
        <w:pageBreakBefore w:val="0"/>
        <w:spacing w:after="0" w:before="40" w:line="252.00000000000003" w:lineRule="auto"/>
        <w:ind w:left="0" w:firstLine="0"/>
        <w:jc w:val="both"/>
        <w:rPr>
          <w:rFonts w:ascii="Helvetica Neue" w:cs="Helvetica Neue" w:eastAsia="Helvetica Neue" w:hAnsi="Helvetica Neue"/>
          <w:sz w:val="16"/>
          <w:szCs w:val="16"/>
        </w:rPr>
        <w:sectPr>
          <w:headerReference r:id="rId18" w:type="default"/>
          <w:footerReference r:id="rId19" w:type="default"/>
          <w:pgSz w:h="16838" w:w="11906" w:orient="portrait"/>
          <w:pgMar w:bottom="1123.2" w:top="1123.2" w:left="1440" w:right="1440" w:header="630" w:footer="720"/>
          <w:pgNumType w:start="1"/>
        </w:sect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2.00000000000003"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er0fnwui2asu" w:id="8"/>
      <w:bookmarkEnd w:id="8"/>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Pathways to prevent and respond to GBV in the post-2020 GBF era</w:t>
      </w:r>
    </w:p>
    <w:p w:rsidR="00000000" w:rsidDel="00000000" w:rsidP="00000000" w:rsidRDefault="00000000" w:rsidRPr="00000000" w14:paraId="00000027">
      <w:pPr>
        <w:pageBreakBefore w:val="0"/>
        <w:spacing w:after="0" w:before="40" w:line="252.00000000000003"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The GBF must enable an era for robust, rights-based, gender-responsive action, across sectors and at multiple levels. The post-2020 Gender Plan of Action (GPA) currently being prepared can usher critical attention, resources, collaboration and accountability, including to prevent and respond to GBV. Policymakers and stakeholders can consider the following:</w:t>
      </w:r>
    </w:p>
    <w:p w:rsidR="00000000" w:rsidDel="00000000" w:rsidP="00000000" w:rsidRDefault="00000000" w:rsidRPr="00000000" w14:paraId="00000028">
      <w:pPr>
        <w:pageBreakBefore w:val="0"/>
        <w:spacing w:after="0" w:before="40" w:line="252.00000000000003" w:lineRule="auto"/>
        <w:jc w:val="both"/>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29">
      <w:pPr>
        <w:pageBreakBefore w:val="0"/>
        <w:spacing w:after="0" w:before="40" w:line="252.00000000000003" w:lineRule="auto"/>
        <w:jc w:val="both"/>
        <w:rPr>
          <w:rFonts w:ascii="Helvetica Neue" w:cs="Helvetica Neue" w:eastAsia="Helvetica Neue" w:hAnsi="Helvetica Neue"/>
          <w:b w:val="1"/>
          <w:color w:val="1f3863"/>
        </w:rPr>
      </w:pPr>
      <w:r w:rsidDel="00000000" w:rsidR="00000000" w:rsidRPr="00000000">
        <w:rPr>
          <w:rFonts w:ascii="Helvetica Neue" w:cs="Helvetica Neue" w:eastAsia="Helvetica Neue" w:hAnsi="Helvetica Neue"/>
          <w:b w:val="1"/>
          <w:color w:val="1f3863"/>
          <w:rtl w:val="0"/>
        </w:rPr>
        <w:t xml:space="preserve">1. </w:t>
      </w:r>
      <w:r w:rsidDel="00000000" w:rsidR="00000000" w:rsidRPr="00000000">
        <w:rPr>
          <w:rFonts w:ascii="Helvetica Neue" w:cs="Helvetica Neue" w:eastAsia="Helvetica Neue" w:hAnsi="Helvetica Neue"/>
          <w:b w:val="1"/>
          <w:color w:val="1f3863"/>
          <w:rtl w:val="0"/>
        </w:rPr>
        <w:t xml:space="preserve">Building</w:t>
      </w:r>
      <w:r w:rsidDel="00000000" w:rsidR="00000000" w:rsidRPr="00000000">
        <w:rPr>
          <w:rFonts w:ascii="Helvetica Neue" w:cs="Helvetica Neue" w:eastAsia="Helvetica Neue" w:hAnsi="Helvetica Neue"/>
          <w:b w:val="1"/>
          <w:color w:val="1f3863"/>
          <w:rtl w:val="0"/>
        </w:rPr>
        <w:t xml:space="preserve"> knowledge and data to fill information gaps</w:t>
      </w:r>
    </w:p>
    <w:p w:rsidR="00000000" w:rsidDel="00000000" w:rsidP="00000000" w:rsidRDefault="00000000" w:rsidRPr="00000000" w14:paraId="0000002A">
      <w:pPr>
        <w:pageBreakBefore w:val="0"/>
        <w:numPr>
          <w:ilvl w:val="0"/>
          <w:numId w:val="5"/>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Invest in, build and disseminate knowledge on sectoral and cross-sector GBV-biodiversity linkages, including tools and methodologies that can aid in identifying, understanding and addressing intersecting forms of violence;</w:t>
      </w:r>
    </w:p>
    <w:p w:rsidR="00000000" w:rsidDel="00000000" w:rsidP="00000000" w:rsidRDefault="00000000" w:rsidRPr="00000000" w14:paraId="0000002B">
      <w:pPr>
        <w:pageBreakBefore w:val="0"/>
        <w:numPr>
          <w:ilvl w:val="0"/>
          <w:numId w:val="5"/>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Gather and disseminate promising practice across biodiversity-related programming that effectively prevent or respond to GBV;</w:t>
      </w:r>
    </w:p>
    <w:p w:rsidR="00000000" w:rsidDel="00000000" w:rsidP="00000000" w:rsidRDefault="00000000" w:rsidRPr="00000000" w14:paraId="0000002C">
      <w:pPr>
        <w:pageBreakBefore w:val="0"/>
        <w:numPr>
          <w:ilvl w:val="0"/>
          <w:numId w:val="5"/>
        </w:numPr>
        <w:spacing w:after="100" w:before="40" w:line="252.00000000000003" w:lineRule="auto"/>
        <w:ind w:left="720" w:hanging="360"/>
        <w:jc w:val="both"/>
        <w:rPr/>
      </w:pPr>
      <w:r w:rsidDel="00000000" w:rsidR="00000000" w:rsidRPr="00000000">
        <w:rPr>
          <w:rFonts w:ascii="Helvetica Neue" w:cs="Helvetica Neue" w:eastAsia="Helvetica Neue" w:hAnsi="Helvetica Neue"/>
          <w:sz w:val="21"/>
          <w:szCs w:val="21"/>
          <w:rtl w:val="0"/>
        </w:rPr>
        <w:t xml:space="preserve">Develop monitoring, evaluation, learning and reporting frameworks at the policy, programme and project levels that include gender and specifically GBV considerations</w:t>
      </w:r>
      <w:r w:rsidDel="00000000" w:rsidR="00000000" w:rsidRPr="00000000">
        <w:rPr>
          <w:rFonts w:ascii="Helvetica Neue" w:cs="Helvetica Neue" w:eastAsia="Helvetica Neue" w:hAnsi="Helvetica Neue"/>
          <w:sz w:val="21"/>
          <w:szCs w:val="21"/>
          <w:rtl w:val="0"/>
        </w:rPr>
        <w:t xml:space="preserve">, including design and use of indicators that align with and enhance existing frameworks</w:t>
      </w:r>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02D">
      <w:pPr>
        <w:pageBreakBefore w:val="0"/>
        <w:numPr>
          <w:ilvl w:val="0"/>
          <w:numId w:val="5"/>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Include gender and GBV considerations in guidance for national and regional framework development, programme development and national reporting;</w:t>
      </w:r>
    </w:p>
    <w:p w:rsidR="00000000" w:rsidDel="00000000" w:rsidP="00000000" w:rsidRDefault="00000000" w:rsidRPr="00000000" w14:paraId="0000002E">
      <w:pPr>
        <w:pageBreakBefore w:val="0"/>
        <w:numPr>
          <w:ilvl w:val="0"/>
          <w:numId w:val="5"/>
        </w:numPr>
        <w:spacing w:after="100" w:before="40" w:line="252.00000000000003" w:lineRule="auto"/>
        <w:ind w:left="720" w:hanging="360"/>
        <w:jc w:val="both"/>
        <w:rPr>
          <w:rFonts w:ascii="Helvetica Neue" w:cs="Helvetica Neue" w:eastAsia="Helvetica Neue" w:hAnsi="Helvetica Neue"/>
          <w:sz w:val="21"/>
          <w:szCs w:val="21"/>
        </w:rPr>
        <w:sectPr>
          <w:footerReference r:id="rId20" w:type="default"/>
          <w:type w:val="continuous"/>
          <w:pgSz w:h="16838" w:w="11906" w:orient="portrait"/>
          <w:pgMar w:bottom="1275" w:top="1166.4" w:left="1440" w:right="1440" w:header="720" w:footer="720"/>
        </w:sectPr>
      </w:pPr>
      <w:r w:rsidDel="00000000" w:rsidR="00000000" w:rsidRPr="00000000">
        <w:rPr>
          <w:rFonts w:ascii="Helvetica Neue" w:cs="Helvetica Neue" w:eastAsia="Helvetica Neue" w:hAnsi="Helvetica Neue"/>
          <w:sz w:val="21"/>
          <w:szCs w:val="21"/>
          <w:rtl w:val="0"/>
        </w:rPr>
        <w:t xml:space="preserve">Ensure disaggregated data and gender information is gathered and used to every extent possible, and include GBV data and information when feasible/available, for example in gender analyses that must inform conservation and related planning and programming.  </w:t>
      </w:r>
    </w:p>
    <w:p w:rsidR="00000000" w:rsidDel="00000000" w:rsidP="00000000" w:rsidRDefault="00000000" w:rsidRPr="00000000" w14:paraId="0000002F">
      <w:pPr>
        <w:pageBreakBefore w:val="0"/>
        <w:spacing w:after="0" w:before="40" w:line="252.00000000000003" w:lineRule="auto"/>
        <w:jc w:val="both"/>
        <w:rPr>
          <w:rFonts w:ascii="Helvetica Neue" w:cs="Helvetica Neue" w:eastAsia="Helvetica Neue" w:hAnsi="Helvetica Neue"/>
          <w:sz w:val="2"/>
          <w:szCs w:val="2"/>
        </w:rPr>
      </w:pPr>
      <w:r w:rsidDel="00000000" w:rsidR="00000000" w:rsidRPr="00000000">
        <w:rPr>
          <w:rtl w:val="0"/>
        </w:rPr>
      </w:r>
    </w:p>
    <w:p w:rsidR="00000000" w:rsidDel="00000000" w:rsidP="00000000" w:rsidRDefault="00000000" w:rsidRPr="00000000" w14:paraId="00000030">
      <w:pPr>
        <w:pageBreakBefore w:val="0"/>
        <w:spacing w:after="0" w:before="40" w:line="252.00000000000003" w:lineRule="auto"/>
        <w:jc w:val="both"/>
        <w:rPr>
          <w:rFonts w:ascii="Helvetica Neue" w:cs="Helvetica Neue" w:eastAsia="Helvetica Neue" w:hAnsi="Helvetica Neue"/>
          <w:b w:val="1"/>
          <w:color w:val="1f3863"/>
        </w:rPr>
      </w:pPr>
      <w:r w:rsidDel="00000000" w:rsidR="00000000" w:rsidRPr="00000000">
        <w:rPr>
          <w:rFonts w:ascii="Helvetica Neue" w:cs="Helvetica Neue" w:eastAsia="Helvetica Neue" w:hAnsi="Helvetica Neue"/>
          <w:b w:val="1"/>
          <w:color w:val="1f3863"/>
          <w:rtl w:val="0"/>
        </w:rPr>
        <w:t xml:space="preserve">2. Recalling, revising or strengthening existing policy commitments and enabling implementation frameworks   </w:t>
      </w:r>
    </w:p>
    <w:p w:rsidR="00000000" w:rsidDel="00000000" w:rsidP="00000000" w:rsidRDefault="00000000" w:rsidRPr="00000000" w14:paraId="00000031">
      <w:pPr>
        <w:pageBreakBefore w:val="0"/>
        <w:numPr>
          <w:ilvl w:val="0"/>
          <w:numId w:val="6"/>
        </w:numPr>
        <w:spacing w:after="100" w:before="40" w:line="252.00000000000003" w:lineRule="auto"/>
        <w:ind w:left="720" w:hanging="360"/>
        <w:jc w:val="both"/>
        <w:rPr>
          <w:sz w:val="21"/>
          <w:szCs w:val="21"/>
        </w:rPr>
      </w:pPr>
      <w:r w:rsidDel="00000000" w:rsidR="00000000" w:rsidRPr="00000000">
        <w:rPr>
          <w:rFonts w:ascii="Helvetica Neue" w:cs="Helvetica Neue" w:eastAsia="Helvetica Neue" w:hAnsi="Helvetica Neue"/>
          <w:sz w:val="21"/>
          <w:szCs w:val="21"/>
          <w:rtl w:val="0"/>
        </w:rPr>
        <w:t xml:space="preserve">Prevent policies and implementation frameworks from inadvertently worsening gender gaps or, specifically, GBV, through gender-blind, siloed approaches;</w:t>
      </w:r>
      <w:r w:rsidDel="00000000" w:rsidR="00000000" w:rsidRPr="00000000">
        <w:rPr>
          <w:rtl w:val="0"/>
        </w:rPr>
      </w:r>
    </w:p>
    <w:p w:rsidR="00000000" w:rsidDel="00000000" w:rsidP="00000000" w:rsidRDefault="00000000" w:rsidRPr="00000000" w14:paraId="00000032">
      <w:pPr>
        <w:pageBreakBefore w:val="0"/>
        <w:numPr>
          <w:ilvl w:val="0"/>
          <w:numId w:val="6"/>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Update National Biodiversity Strategies and Action Plans (NBSAPs) to align with gender-responsive policy commitments, ensuring diverse women’s and gender and GBV experts’ meaningful inclusion in planning and implementation processes, ensuring GBV issues are identified and corresponding actions are integrated; </w:t>
      </w:r>
    </w:p>
    <w:p w:rsidR="00000000" w:rsidDel="00000000" w:rsidP="00000000" w:rsidRDefault="00000000" w:rsidRPr="00000000" w14:paraId="00000033">
      <w:pPr>
        <w:pageBreakBefore w:val="0"/>
        <w:numPr>
          <w:ilvl w:val="0"/>
          <w:numId w:val="6"/>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Foster and directly cooperate across sectors, including with gender ministries and gender and GBV expert organisations, to strengthen strategies for meeting interlinked goals (e.g. related to GBF targets and SDGs). </w:t>
      </w:r>
    </w:p>
    <w:p w:rsidR="00000000" w:rsidDel="00000000" w:rsidP="00000000" w:rsidRDefault="00000000" w:rsidRPr="00000000" w14:paraId="00000034">
      <w:pPr>
        <w:pageBreakBefore w:val="0"/>
        <w:spacing w:after="120" w:before="40" w:line="252.00000000000003" w:lineRule="auto"/>
        <w:jc w:val="both"/>
        <w:rPr>
          <w:rFonts w:ascii="Helvetica Neue" w:cs="Helvetica Neue" w:eastAsia="Helvetica Neue" w:hAnsi="Helvetica Neue"/>
          <w:sz w:val="2"/>
          <w:szCs w:val="2"/>
        </w:rPr>
      </w:pPr>
      <w:r w:rsidDel="00000000" w:rsidR="00000000" w:rsidRPr="00000000">
        <w:rPr>
          <w:rtl w:val="0"/>
        </w:rPr>
      </w:r>
    </w:p>
    <w:p w:rsidR="00000000" w:rsidDel="00000000" w:rsidP="00000000" w:rsidRDefault="00000000" w:rsidRPr="00000000" w14:paraId="00000035">
      <w:pPr>
        <w:pageBreakBefore w:val="0"/>
        <w:spacing w:after="0" w:before="40" w:line="252.00000000000003" w:lineRule="auto"/>
        <w:jc w:val="both"/>
        <w:rPr>
          <w:rFonts w:ascii="Helvetica Neue" w:cs="Helvetica Neue" w:eastAsia="Helvetica Neue" w:hAnsi="Helvetica Neue"/>
          <w:b w:val="1"/>
          <w:color w:val="1f3863"/>
        </w:rPr>
      </w:pPr>
      <w:r w:rsidDel="00000000" w:rsidR="00000000" w:rsidRPr="00000000">
        <w:rPr>
          <w:rFonts w:ascii="Helvetica Neue" w:cs="Helvetica Neue" w:eastAsia="Helvetica Neue" w:hAnsi="Helvetica Neue"/>
          <w:b w:val="1"/>
          <w:color w:val="1f3863"/>
          <w:rtl w:val="0"/>
        </w:rPr>
        <w:t xml:space="preserve">3. Building capacities and cooperation for implementation </w:t>
      </w:r>
    </w:p>
    <w:p w:rsidR="00000000" w:rsidDel="00000000" w:rsidP="00000000" w:rsidRDefault="00000000" w:rsidRPr="00000000" w14:paraId="00000036">
      <w:pPr>
        <w:pageBreakBefore w:val="0"/>
        <w:numPr>
          <w:ilvl w:val="0"/>
          <w:numId w:val="9"/>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Invest in strengthening capacities of government and non-governmental national stakeholders to understand and address gender-GBV-biodiversity linkages;</w:t>
      </w:r>
      <w:r w:rsidDel="00000000" w:rsidR="00000000" w:rsidRPr="00000000">
        <w:rPr>
          <w:rtl w:val="0"/>
        </w:rPr>
      </w:r>
    </w:p>
    <w:p w:rsidR="00000000" w:rsidDel="00000000" w:rsidP="00000000" w:rsidRDefault="00000000" w:rsidRPr="00000000" w14:paraId="00000037">
      <w:pPr>
        <w:pageBreakBefore w:val="0"/>
        <w:numPr>
          <w:ilvl w:val="0"/>
          <w:numId w:val="9"/>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Support governments and projects to work in complement with organisations with local and contextual expertise on preventing, addressing and responding to GBV;</w:t>
      </w:r>
    </w:p>
    <w:p w:rsidR="00000000" w:rsidDel="00000000" w:rsidP="00000000" w:rsidRDefault="00000000" w:rsidRPr="00000000" w14:paraId="00000038">
      <w:pPr>
        <w:pageBreakBefore w:val="0"/>
        <w:numPr>
          <w:ilvl w:val="0"/>
          <w:numId w:val="9"/>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Build awareness and capacities of major international, regional and national biodiversity-focused programmes and funds across sectors to understand and address gender-GBV-biodiversity linkages, including understanding how to identify, address and monitor GBV in planning, implementation and monitoring of biodiversity policies and programming; </w:t>
      </w:r>
    </w:p>
    <w:p w:rsidR="00000000" w:rsidDel="00000000" w:rsidP="00000000" w:rsidRDefault="00000000" w:rsidRPr="00000000" w14:paraId="00000039">
      <w:pPr>
        <w:pageBreakBefore w:val="0"/>
        <w:numPr>
          <w:ilvl w:val="0"/>
          <w:numId w:val="9"/>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Ensure full, effective, and meaningful participation and leadership of diverse women, including in particular Indigenous women, and gender minorities, at all levels of decision-making related to biodiversity.</w:t>
      </w:r>
    </w:p>
    <w:p w:rsidR="00000000" w:rsidDel="00000000" w:rsidP="00000000" w:rsidRDefault="00000000" w:rsidRPr="00000000" w14:paraId="0000003A">
      <w:pPr>
        <w:pageBreakBefore w:val="0"/>
        <w:spacing w:after="120" w:before="40" w:line="252.00000000000003" w:lineRule="auto"/>
        <w:jc w:val="both"/>
        <w:rPr>
          <w:rFonts w:ascii="Helvetica Neue" w:cs="Helvetica Neue" w:eastAsia="Helvetica Neue" w:hAnsi="Helvetica Neue"/>
          <w:sz w:val="2"/>
          <w:szCs w:val="2"/>
        </w:rPr>
      </w:pPr>
      <w:r w:rsidDel="00000000" w:rsidR="00000000" w:rsidRPr="00000000">
        <w:rPr>
          <w:rtl w:val="0"/>
        </w:rPr>
      </w:r>
    </w:p>
    <w:p w:rsidR="00000000" w:rsidDel="00000000" w:rsidP="00000000" w:rsidRDefault="00000000" w:rsidRPr="00000000" w14:paraId="0000003B">
      <w:pPr>
        <w:pageBreakBefore w:val="0"/>
        <w:spacing w:after="0" w:before="40" w:line="252.00000000000003" w:lineRule="auto"/>
        <w:jc w:val="both"/>
        <w:rPr>
          <w:rFonts w:ascii="Helvetica Neue" w:cs="Helvetica Neue" w:eastAsia="Helvetica Neue" w:hAnsi="Helvetica Neue"/>
          <w:color w:val="1f3863"/>
        </w:rPr>
      </w:pPr>
      <w:r w:rsidDel="00000000" w:rsidR="00000000" w:rsidRPr="00000000">
        <w:rPr>
          <w:rFonts w:ascii="Helvetica Neue" w:cs="Helvetica Neue" w:eastAsia="Helvetica Neue" w:hAnsi="Helvetica Neue"/>
          <w:b w:val="1"/>
          <w:color w:val="1f3863"/>
          <w:rtl w:val="0"/>
        </w:rPr>
        <w:t xml:space="preserve">4. Mobilising sufficient resources</w:t>
      </w:r>
      <w:r w:rsidDel="00000000" w:rsidR="00000000" w:rsidRPr="00000000">
        <w:rPr>
          <w:rFonts w:ascii="Helvetica Neue" w:cs="Helvetica Neue" w:eastAsia="Helvetica Neue" w:hAnsi="Helvetica Neue"/>
          <w:color w:val="1f3863"/>
          <w:rtl w:val="0"/>
        </w:rPr>
        <w:t xml:space="preserve"> </w:t>
      </w:r>
    </w:p>
    <w:p w:rsidR="00000000" w:rsidDel="00000000" w:rsidP="00000000" w:rsidRDefault="00000000" w:rsidRPr="00000000" w14:paraId="0000003C">
      <w:pPr>
        <w:pageBreakBefore w:val="0"/>
        <w:numPr>
          <w:ilvl w:val="0"/>
          <w:numId w:val="4"/>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Channel both private and public investments for large-scale gender-responsive integrated approaches that address GBV and biodiversity loss together;  </w:t>
      </w:r>
    </w:p>
    <w:p w:rsidR="00000000" w:rsidDel="00000000" w:rsidP="00000000" w:rsidRDefault="00000000" w:rsidRPr="00000000" w14:paraId="0000003D">
      <w:pPr>
        <w:pageBreakBefore w:val="0"/>
        <w:numPr>
          <w:ilvl w:val="0"/>
          <w:numId w:val="4"/>
        </w:numPr>
        <w:spacing w:after="100" w:before="40" w:line="252.00000000000003" w:lineRule="auto"/>
        <w:ind w:left="720" w:hanging="360"/>
        <w:jc w:val="both"/>
        <w:rPr>
          <w:rFonts w:ascii="Helvetica Neue" w:cs="Helvetica Neue" w:eastAsia="Helvetica Neue" w:hAnsi="Helvetica Neue"/>
          <w:sz w:val="21"/>
          <w:szCs w:val="21"/>
          <w:u w:val="none"/>
        </w:rPr>
      </w:pPr>
      <w:r w:rsidDel="00000000" w:rsidR="00000000" w:rsidRPr="00000000">
        <w:rPr>
          <w:rFonts w:ascii="Helvetica Neue" w:cs="Helvetica Neue" w:eastAsia="Helvetica Neue" w:hAnsi="Helvetica Neue"/>
          <w:sz w:val="21"/>
          <w:szCs w:val="21"/>
          <w:rtl w:val="0"/>
        </w:rPr>
        <w:t xml:space="preserve">Fully fund the updated GPA so that it is a robust and meaningful tool to accompany and enhance implementation of a rights-based, gender-responsive GBF that contributes to meeting the SDGs and other major agreed global and national goals;</w:t>
      </w:r>
    </w:p>
    <w:p w:rsidR="00000000" w:rsidDel="00000000" w:rsidP="00000000" w:rsidRDefault="00000000" w:rsidRPr="00000000" w14:paraId="0000003E">
      <w:pPr>
        <w:pageBreakBefore w:val="0"/>
        <w:numPr>
          <w:ilvl w:val="0"/>
          <w:numId w:val="3"/>
        </w:numPr>
        <w:spacing w:after="100" w:before="40" w:line="252.00000000000003" w:lineRule="auto"/>
        <w:ind w:left="720" w:hanging="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Mobilise major donors and finance mechanisms to enhance existing efforts, e.g. those of the </w:t>
      </w:r>
      <w:hyperlink r:id="rId21">
        <w:r w:rsidDel="00000000" w:rsidR="00000000" w:rsidRPr="00000000">
          <w:rPr>
            <w:rFonts w:ascii="Helvetica Neue" w:cs="Helvetica Neue" w:eastAsia="Helvetica Neue" w:hAnsi="Helvetica Neue"/>
            <w:color w:val="0563c1"/>
            <w:sz w:val="21"/>
            <w:szCs w:val="21"/>
            <w:u w:val="single"/>
            <w:rtl w:val="0"/>
          </w:rPr>
          <w:t xml:space="preserve">Green Climate Fund</w:t>
        </w:r>
      </w:hyperlink>
      <w:r w:rsidDel="00000000" w:rsidR="00000000" w:rsidRPr="00000000">
        <w:rPr>
          <w:rFonts w:ascii="Helvetica Neue" w:cs="Helvetica Neue" w:eastAsia="Helvetica Neue" w:hAnsi="Helvetica Neue"/>
          <w:sz w:val="21"/>
          <w:szCs w:val="21"/>
          <w:rtl w:val="0"/>
        </w:rPr>
        <w:t xml:space="preserve">  and the </w:t>
      </w:r>
      <w:hyperlink r:id="rId22">
        <w:r w:rsidDel="00000000" w:rsidR="00000000" w:rsidRPr="00000000">
          <w:rPr>
            <w:rFonts w:ascii="Helvetica Neue" w:cs="Helvetica Neue" w:eastAsia="Helvetica Neue" w:hAnsi="Helvetica Neue"/>
            <w:color w:val="0563c1"/>
            <w:sz w:val="21"/>
            <w:szCs w:val="21"/>
            <w:u w:val="single"/>
            <w:rtl w:val="0"/>
          </w:rPr>
          <w:t xml:space="preserve">Global Environmental Facilty</w:t>
        </w:r>
      </w:hyperlink>
      <w:r w:rsidDel="00000000" w:rsidR="00000000" w:rsidRPr="00000000">
        <w:rPr>
          <w:rFonts w:ascii="Helvetica Neue" w:cs="Helvetica Neue" w:eastAsia="Helvetica Neue" w:hAnsi="Helvetica Neue"/>
          <w:sz w:val="21"/>
          <w:szCs w:val="21"/>
          <w:rtl w:val="0"/>
        </w:rPr>
        <w:t xml:space="preserve">, to mandate all funded programmes and institutions to have in place policies for zero tolerance of all forms of sexual exploitation, sexual abuse and sexual harassment; to demonstrate appropriate mechanisms to prevent and respond to GBV in all funded activities; and to directly support institutions to put in place and maintain robust capacity to ensure implementation and accountability.</w:t>
      </w:r>
    </w:p>
    <w:sectPr>
      <w:type w:val="continuous"/>
      <w:pgSz w:h="16838" w:w="11906" w:orient="portrait"/>
      <w:pgMar w:bottom="1275" w:top="1166.4"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spacing w:after="0" w:before="40" w:line="252.00000000000003"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spacing w:after="120" w:before="40" w:line="252.00000000000003" w:lineRule="auto"/>
      <w:rPr>
        <w:rFonts w:ascii="Helvetica Neue" w:cs="Helvetica Neue" w:eastAsia="Helvetica Neue" w:hAnsi="Helvetica Neue"/>
        <w:sz w:val="8"/>
        <w:szCs w:val="8"/>
      </w:rPr>
    </w:pPr>
    <w:r w:rsidDel="00000000" w:rsidR="00000000" w:rsidRPr="00000000">
      <w:rPr>
        <w:rFonts w:ascii="Helvetica Neue" w:cs="Helvetica Neue" w:eastAsia="Helvetica Neue" w:hAnsi="Helvetica Neue"/>
        <w:sz w:val="8"/>
        <w:szCs w:val="8"/>
        <w:rtl w:val="0"/>
      </w:rPr>
      <w:t xml:space="preserve">___________________________________________________________________________________________________________________________________________</w:t>
    </w:r>
  </w:p>
  <w:p w:rsidR="00000000" w:rsidDel="00000000" w:rsidP="00000000" w:rsidRDefault="00000000" w:rsidRPr="00000000" w14:paraId="00000044">
    <w:pPr>
      <w:pageBreakBefore w:val="0"/>
      <w:spacing w:after="120" w:before="40" w:line="252.00000000000003" w:lineRule="auto"/>
      <w:rPr>
        <w:rFonts w:ascii="Helvetica Neue" w:cs="Helvetica Neue" w:eastAsia="Helvetica Neue" w:hAnsi="Helvetica Neue"/>
        <w:b w:val="1"/>
        <w:color w:val="1f3863"/>
        <w:sz w:val="20"/>
        <w:szCs w:val="20"/>
      </w:rPr>
    </w:pPr>
    <w:r w:rsidDel="00000000" w:rsidR="00000000" w:rsidRPr="00000000">
      <w:rPr>
        <w:rFonts w:ascii="Helvetica Neue" w:cs="Helvetica Neue" w:eastAsia="Helvetica Neue" w:hAnsi="Helvetica Neue"/>
        <w:b w:val="1"/>
        <w:color w:val="1f3863"/>
        <w:sz w:val="20"/>
        <w:szCs w:val="20"/>
        <w:rtl w:val="0"/>
      </w:rPr>
      <w:t xml:space="preserve">For more information:</w:t>
    </w:r>
  </w:p>
  <w:p w:rsidR="00000000" w:rsidDel="00000000" w:rsidP="00000000" w:rsidRDefault="00000000" w:rsidRPr="00000000" w14:paraId="00000045">
    <w:pPr>
      <w:pageBreakBefore w:val="0"/>
      <w:spacing w:after="0" w:before="40" w:line="252.00000000000003"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Visit us online: </w:t>
    </w:r>
    <w:hyperlink r:id="rId1">
      <w:r w:rsidDel="00000000" w:rsidR="00000000" w:rsidRPr="00000000">
        <w:rPr>
          <w:rFonts w:ascii="Helvetica Neue" w:cs="Helvetica Neue" w:eastAsia="Helvetica Neue" w:hAnsi="Helvetica Neue"/>
          <w:color w:val="1155cc"/>
          <w:sz w:val="18"/>
          <w:szCs w:val="18"/>
          <w:u w:val="single"/>
          <w:rtl w:val="0"/>
        </w:rPr>
        <w:t xml:space="preserve">https://www.iucn.org/theme/gender</w:t>
      </w:r>
    </w:hyperlink>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46">
    <w:pPr>
      <w:pageBreakBefore w:val="0"/>
      <w:spacing w:after="0" w:before="40" w:line="252.00000000000003"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See the GBV-ENV Center: </w:t>
    </w:r>
    <w:hyperlink r:id="rId2">
      <w:r w:rsidDel="00000000" w:rsidR="00000000" w:rsidRPr="00000000">
        <w:rPr>
          <w:rFonts w:ascii="Helvetica Neue" w:cs="Helvetica Neue" w:eastAsia="Helvetica Neue" w:hAnsi="Helvetica Neue"/>
          <w:color w:val="1155cc"/>
          <w:sz w:val="18"/>
          <w:szCs w:val="18"/>
          <w:u w:val="single"/>
          <w:rtl w:val="0"/>
        </w:rPr>
        <w:t xml:space="preserve">https://genderandenvironment.org/agent-gbv-env/</w:t>
      </w:r>
    </w:hyperlink>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47">
    <w:pPr>
      <w:pageBreakBefore w:val="0"/>
      <w:spacing w:after="0" w:before="40" w:line="252.00000000000003" w:lineRule="auto"/>
      <w:rPr/>
    </w:pPr>
    <w:r w:rsidDel="00000000" w:rsidR="00000000" w:rsidRPr="00000000">
      <w:rPr>
        <w:rFonts w:ascii="Helvetica Neue" w:cs="Helvetica Neue" w:eastAsia="Helvetica Neue" w:hAnsi="Helvetica Neue"/>
        <w:sz w:val="18"/>
        <w:szCs w:val="18"/>
        <w:rtl w:val="0"/>
      </w:rPr>
      <w:t xml:space="preserve">Contact: GBV-ENV[at]iucn.org</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F">
      <w:pPr>
        <w:pageBreakBefore w:val="0"/>
        <w:spacing w:after="0" w:line="240" w:lineRule="auto"/>
        <w:ind w:left="180" w:hanging="180"/>
        <w:rPr>
          <w:rFonts w:ascii="Helvetica Neue" w:cs="Helvetica Neue" w:eastAsia="Helvetica Neue" w:hAnsi="Helvetica Neue"/>
          <w:sz w:val="16"/>
          <w:szCs w:val="16"/>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16"/>
          <w:szCs w:val="16"/>
          <w:rtl w:val="0"/>
        </w:rPr>
        <w:t xml:space="preserve">  See the latest version, as of May 20, 2021, of the zero draft of the post-2020 Global Biodiversity Framework (January 6, 2021), </w:t>
      </w:r>
      <w:hyperlink r:id="rId1">
        <w:r w:rsidDel="00000000" w:rsidR="00000000" w:rsidRPr="00000000">
          <w:rPr>
            <w:rFonts w:ascii="Helvetica Neue" w:cs="Helvetica Neue" w:eastAsia="Helvetica Neue" w:hAnsi="Helvetica Neue"/>
            <w:color w:val="1155cc"/>
            <w:sz w:val="16"/>
            <w:szCs w:val="16"/>
            <w:u w:val="single"/>
            <w:rtl w:val="0"/>
          </w:rPr>
          <w:t xml:space="preserve">here</w:t>
        </w:r>
      </w:hyperlink>
      <w:r w:rsidDel="00000000" w:rsidR="00000000" w:rsidRPr="00000000">
        <w:rPr>
          <w:rFonts w:ascii="Helvetica Neue" w:cs="Helvetica Neue" w:eastAsia="Helvetica Neue" w:hAnsi="Helvetica Neue"/>
          <w:sz w:val="16"/>
          <w:szCs w:val="16"/>
          <w:rtl w:val="0"/>
        </w:rPr>
        <w:t xml:space="preserve">.</w:t>
      </w:r>
    </w:p>
  </w:footnote>
  <w:footnote w:id="1">
    <w:p w:rsidR="00000000" w:rsidDel="00000000" w:rsidP="00000000" w:rsidRDefault="00000000" w:rsidRPr="00000000" w14:paraId="00000040">
      <w:pPr>
        <w:pageBreakBefore w:val="0"/>
        <w:spacing w:after="0" w:line="240" w:lineRule="auto"/>
        <w:ind w:left="180" w:hanging="180"/>
        <w:rPr>
          <w:rFonts w:ascii="Helvetica Neue" w:cs="Helvetica Neue" w:eastAsia="Helvetica Neue" w:hAnsi="Helvetica Neue"/>
          <w:sz w:val="16"/>
          <w:szCs w:val="16"/>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sz w:val="16"/>
          <w:szCs w:val="16"/>
          <w:rtl w:val="0"/>
        </w:rPr>
        <w:t xml:space="preserve">Responding and preventing GBV is identified as an objective of the Draft Outline of a post-2020 Gender Plan of Action in the latest version, as of May 20, 2021, published April 26,2020. See </w:t>
      </w:r>
      <w:hyperlink r:id="rId2">
        <w:r w:rsidDel="00000000" w:rsidR="00000000" w:rsidRPr="00000000">
          <w:rPr>
            <w:rFonts w:ascii="Helvetica Neue" w:cs="Helvetica Neue" w:eastAsia="Helvetica Neue" w:hAnsi="Helvetica Neue"/>
            <w:color w:val="1155cc"/>
            <w:sz w:val="16"/>
            <w:szCs w:val="16"/>
            <w:u w:val="single"/>
            <w:rtl w:val="0"/>
          </w:rPr>
          <w:t xml:space="preserve">here</w:t>
        </w:r>
      </w:hyperlink>
      <w:r w:rsidDel="00000000" w:rsidR="00000000" w:rsidRPr="00000000">
        <w:rPr>
          <w:rFonts w:ascii="Helvetica Neue" w:cs="Helvetica Neue" w:eastAsia="Helvetica Neue" w:hAnsi="Helvetica Neue"/>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75" w:hanging="360"/>
      </w:pPr>
      <w:rPr>
        <w:rFonts w:ascii="Noto Sans Symbols" w:cs="Noto Sans Symbols" w:eastAsia="Noto Sans Symbols" w:hAnsi="Noto Sans Symbols"/>
        <w:sz w:val="20"/>
        <w:szCs w:val="20"/>
      </w:rPr>
    </w:lvl>
    <w:lvl w:ilvl="1">
      <w:start w:val="1"/>
      <w:numFmt w:val="bullet"/>
      <w:lvlText w:val="o"/>
      <w:lvlJc w:val="left"/>
      <w:pPr>
        <w:ind w:left="1495" w:hanging="360"/>
      </w:pPr>
      <w:rPr>
        <w:rFonts w:ascii="Courier New" w:cs="Courier New" w:eastAsia="Courier New" w:hAnsi="Courier New"/>
      </w:rPr>
    </w:lvl>
    <w:lvl w:ilvl="2">
      <w:start w:val="1"/>
      <w:numFmt w:val="bullet"/>
      <w:lvlText w:val="▪"/>
      <w:lvlJc w:val="left"/>
      <w:pPr>
        <w:ind w:left="2215" w:hanging="360"/>
      </w:pPr>
      <w:rPr>
        <w:rFonts w:ascii="Noto Sans Symbols" w:cs="Noto Sans Symbols" w:eastAsia="Noto Sans Symbols" w:hAnsi="Noto Sans Symbols"/>
      </w:rPr>
    </w:lvl>
    <w:lvl w:ilvl="3">
      <w:start w:val="1"/>
      <w:numFmt w:val="bullet"/>
      <w:lvlText w:val="●"/>
      <w:lvlJc w:val="left"/>
      <w:pPr>
        <w:ind w:left="2935" w:hanging="360"/>
      </w:pPr>
      <w:rPr>
        <w:rFonts w:ascii="Noto Sans Symbols" w:cs="Noto Sans Symbols" w:eastAsia="Noto Sans Symbols" w:hAnsi="Noto Sans Symbols"/>
      </w:rPr>
    </w:lvl>
    <w:lvl w:ilvl="4">
      <w:start w:val="1"/>
      <w:numFmt w:val="bullet"/>
      <w:lvlText w:val="o"/>
      <w:lvlJc w:val="left"/>
      <w:pPr>
        <w:ind w:left="3655" w:hanging="360"/>
      </w:pPr>
      <w:rPr>
        <w:rFonts w:ascii="Courier New" w:cs="Courier New" w:eastAsia="Courier New" w:hAnsi="Courier New"/>
      </w:rPr>
    </w:lvl>
    <w:lvl w:ilvl="5">
      <w:start w:val="1"/>
      <w:numFmt w:val="bullet"/>
      <w:lvlText w:val="▪"/>
      <w:lvlJc w:val="left"/>
      <w:pPr>
        <w:ind w:left="4375" w:hanging="360"/>
      </w:pPr>
      <w:rPr>
        <w:rFonts w:ascii="Noto Sans Symbols" w:cs="Noto Sans Symbols" w:eastAsia="Noto Sans Symbols" w:hAnsi="Noto Sans Symbols"/>
      </w:rPr>
    </w:lvl>
    <w:lvl w:ilvl="6">
      <w:start w:val="1"/>
      <w:numFmt w:val="bullet"/>
      <w:lvlText w:val="●"/>
      <w:lvlJc w:val="left"/>
      <w:pPr>
        <w:ind w:left="5095" w:hanging="360"/>
      </w:pPr>
      <w:rPr>
        <w:rFonts w:ascii="Noto Sans Symbols" w:cs="Noto Sans Symbols" w:eastAsia="Noto Sans Symbols" w:hAnsi="Noto Sans Symbols"/>
      </w:rPr>
    </w:lvl>
    <w:lvl w:ilvl="7">
      <w:start w:val="1"/>
      <w:numFmt w:val="bullet"/>
      <w:lvlText w:val="o"/>
      <w:lvlJc w:val="left"/>
      <w:pPr>
        <w:ind w:left="5815" w:hanging="360"/>
      </w:pPr>
      <w:rPr>
        <w:rFonts w:ascii="Courier New" w:cs="Courier New" w:eastAsia="Courier New" w:hAnsi="Courier New"/>
      </w:rPr>
    </w:lvl>
    <w:lvl w:ilvl="8">
      <w:start w:val="1"/>
      <w:numFmt w:val="bullet"/>
      <w:lvlText w:val="▪"/>
      <w:lvlJc w:val="left"/>
      <w:pPr>
        <w:ind w:left="6535"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200" w:line="240" w:lineRule="auto"/>
    </w:pPr>
    <w:rPr>
      <w:rFonts w:ascii="Calibri" w:cs="Calibri" w:eastAsia="Calibri" w:hAnsi="Calibri"/>
      <w:b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0" w:lineRule="auto"/>
    </w:pPr>
    <w:rPr>
      <w:rFonts w:ascii="Helvetica Neue" w:cs="Helvetica Neue" w:eastAsia="Helvetica Neue" w:hAnsi="Helvetica Neue"/>
      <w:b w:val="1"/>
      <w:sz w:val="24"/>
      <w:szCs w:val="24"/>
    </w:rPr>
  </w:style>
  <w:style w:type="paragraph" w:styleId="Heading2">
    <w:name w:val="heading 2"/>
    <w:basedOn w:val="Normal"/>
    <w:next w:val="Normal"/>
    <w:pPr>
      <w:keepNext w:val="1"/>
      <w:keepLines w:val="1"/>
      <w:jc w:val="both"/>
    </w:pPr>
    <w:rPr>
      <w:rFonts w:ascii="Helvetica Neue" w:cs="Helvetica Neue" w:eastAsia="Helvetica Neue" w:hAnsi="Helvetica Neue"/>
      <w:b w:val="1"/>
      <w:color w:val="2f549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40" w:lineRule="auto"/>
      <w:jc w:val="center"/>
    </w:pPr>
    <w:rPr>
      <w:rFonts w:ascii="Helvetica Neue" w:cs="Helvetica Neue" w:eastAsia="Helvetica Neue" w:hAnsi="Helvetica Neue"/>
      <w:b w:val="1"/>
      <w:sz w:val="28"/>
      <w:szCs w:val="28"/>
    </w:rPr>
  </w:style>
  <w:style w:type="paragraph" w:styleId="Normal" w:default="1">
    <w:name w:val="Normal"/>
    <w:qFormat w:val="1"/>
    <w:rsid w:val="000E1188"/>
  </w:style>
  <w:style w:type="paragraph" w:styleId="Ttulo1">
    <w:name w:val="heading 1"/>
    <w:basedOn w:val="Normal"/>
    <w:next w:val="Normal"/>
    <w:link w:val="Ttulo1Car"/>
    <w:uiPriority w:val="9"/>
    <w:qFormat w:val="1"/>
    <w:rsid w:val="00B73D15"/>
    <w:pPr>
      <w:keepNext w:val="1"/>
      <w:keepLines w:val="1"/>
      <w:spacing w:after="120" w:before="400" w:line="240" w:lineRule="auto"/>
      <w:outlineLvl w:val="0"/>
    </w:pPr>
    <w:rPr>
      <w:rFonts w:ascii="Times New Roman" w:cs="Times New Roman" w:eastAsia="Times New Roman" w:hAnsi="Times New Roman"/>
      <w:b w:val="1"/>
      <w:sz w:val="48"/>
      <w:szCs w:val="48"/>
      <w:lang w:val="en-US"/>
    </w:rPr>
  </w:style>
  <w:style w:type="paragraph" w:styleId="Ttulo2">
    <w:name w:val="heading 2"/>
    <w:basedOn w:val="Normal"/>
    <w:next w:val="Normal"/>
    <w:link w:val="Ttulo2Car"/>
    <w:uiPriority w:val="9"/>
    <w:unhideWhenUsed w:val="1"/>
    <w:qFormat w:val="1"/>
    <w:rsid w:val="00F3449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link w:val="Ttulo3Car"/>
    <w:uiPriority w:val="9"/>
    <w:unhideWhenUsed w:val="1"/>
    <w:qFormat w:val="1"/>
    <w:rsid w:val="00ED596B"/>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B35ABD"/>
    <w:pPr>
      <w:ind w:left="720"/>
      <w:contextualSpacing w:val="1"/>
    </w:pPr>
  </w:style>
  <w:style w:type="character" w:styleId="Refdecomentario">
    <w:name w:val="annotation reference"/>
    <w:basedOn w:val="Fuentedeprrafopredeter"/>
    <w:uiPriority w:val="99"/>
    <w:semiHidden w:val="1"/>
    <w:unhideWhenUsed w:val="1"/>
    <w:rsid w:val="009571E9"/>
    <w:rPr>
      <w:sz w:val="16"/>
      <w:szCs w:val="16"/>
    </w:rPr>
  </w:style>
  <w:style w:type="paragraph" w:styleId="Textocomentario">
    <w:name w:val="annotation text"/>
    <w:basedOn w:val="Normal"/>
    <w:link w:val="TextocomentarioCar"/>
    <w:uiPriority w:val="99"/>
    <w:unhideWhenUsed w:val="1"/>
    <w:rsid w:val="009571E9"/>
    <w:pPr>
      <w:spacing w:line="240" w:lineRule="auto"/>
    </w:pPr>
    <w:rPr>
      <w:sz w:val="20"/>
      <w:szCs w:val="20"/>
    </w:rPr>
  </w:style>
  <w:style w:type="character" w:styleId="TextocomentarioCar" w:customStyle="1">
    <w:name w:val="Texto comentario Car"/>
    <w:basedOn w:val="Fuentedeprrafopredeter"/>
    <w:link w:val="Textocomentario"/>
    <w:uiPriority w:val="99"/>
    <w:rsid w:val="009571E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9571E9"/>
    <w:rPr>
      <w:b w:val="1"/>
      <w:bCs w:val="1"/>
    </w:rPr>
  </w:style>
  <w:style w:type="character" w:styleId="AsuntodelcomentarioCar" w:customStyle="1">
    <w:name w:val="Asunto del comentario Car"/>
    <w:basedOn w:val="TextocomentarioCar"/>
    <w:link w:val="Asuntodelcomentario"/>
    <w:uiPriority w:val="99"/>
    <w:semiHidden w:val="1"/>
    <w:rsid w:val="009571E9"/>
    <w:rPr>
      <w:b w:val="1"/>
      <w:bCs w:val="1"/>
      <w:sz w:val="20"/>
      <w:szCs w:val="20"/>
    </w:rPr>
  </w:style>
  <w:style w:type="character" w:styleId="Hipervnculo">
    <w:name w:val="Hyperlink"/>
    <w:basedOn w:val="Fuentedeprrafopredeter"/>
    <w:uiPriority w:val="99"/>
    <w:unhideWhenUsed w:val="1"/>
    <w:rsid w:val="002315BA"/>
    <w:rPr>
      <w:color w:val="0563c1" w:themeColor="hyperlink"/>
      <w:u w:val="single"/>
    </w:rPr>
  </w:style>
  <w:style w:type="character" w:styleId="Mencinsinresolver1" w:customStyle="1">
    <w:name w:val="Mención sin resolver1"/>
    <w:basedOn w:val="Fuentedeprrafopredeter"/>
    <w:uiPriority w:val="99"/>
    <w:semiHidden w:val="1"/>
    <w:unhideWhenUsed w:val="1"/>
    <w:rsid w:val="002315BA"/>
    <w:rPr>
      <w:color w:val="605e5c"/>
      <w:shd w:color="auto" w:fill="e1dfdd" w:val="clear"/>
    </w:rPr>
  </w:style>
  <w:style w:type="character" w:styleId="Refdenotaalpie">
    <w:name w:val="footnote reference"/>
    <w:aliases w:val="stylish,Ref,de nota al pie,Footnote Reference - Carlos,Footnote Reference Superscript,number,16 Point,Superscript 6 Point,Superscript 6 Point + 11 pt,ftref,BVI fnr,BVI fnr Car Car,BVI fnr Car,BVI fnr Car Car Car Car,Footnote text"/>
    <w:link w:val="BVIfnrCarCarCarCarChar"/>
    <w:uiPriority w:val="99"/>
    <w:unhideWhenUsed w:val="1"/>
    <w:qFormat w:val="1"/>
    <w:rsid w:val="009F3C93"/>
    <w:rPr>
      <w:vertAlign w:val="superscript"/>
    </w:rPr>
  </w:style>
  <w:style w:type="paragraph" w:styleId="Textonotapie">
    <w:name w:val="footnote text"/>
    <w:basedOn w:val="Normal"/>
    <w:link w:val="TextonotapieCar"/>
    <w:uiPriority w:val="99"/>
    <w:unhideWhenUsed w:val="1"/>
    <w:rsid w:val="009F3C93"/>
    <w:pPr>
      <w:spacing w:after="0" w:line="240" w:lineRule="auto"/>
    </w:pPr>
    <w:rPr>
      <w:rFonts w:ascii="Arial" w:cs="Times New Roman (Body CS)" w:hAnsi="Arial"/>
      <w:sz w:val="20"/>
      <w:szCs w:val="20"/>
      <w:lang w:val="en-US"/>
    </w:rPr>
  </w:style>
  <w:style w:type="character" w:styleId="TextonotapieCar" w:customStyle="1">
    <w:name w:val="Texto nota pie Car"/>
    <w:basedOn w:val="Fuentedeprrafopredeter"/>
    <w:link w:val="Textonotapie"/>
    <w:uiPriority w:val="99"/>
    <w:rsid w:val="009F3C93"/>
    <w:rPr>
      <w:rFonts w:ascii="Arial" w:cs="Times New Roman (Body CS)" w:hAnsi="Arial"/>
      <w:sz w:val="20"/>
      <w:szCs w:val="20"/>
      <w:lang w:val="en-US"/>
    </w:rPr>
  </w:style>
  <w:style w:type="paragraph" w:styleId="BVIfnrCarCarCarCarChar" w:customStyle="1">
    <w:name w:val="BVI fnr Car Car Car Car Char"/>
    <w:basedOn w:val="Normal"/>
    <w:link w:val="Refdenotaalpie"/>
    <w:autoRedefine w:val="1"/>
    <w:uiPriority w:val="99"/>
    <w:rsid w:val="009F3C93"/>
    <w:pPr>
      <w:spacing w:before="120" w:line="240" w:lineRule="exact"/>
      <w:jc w:val="both"/>
    </w:pPr>
    <w:rPr>
      <w:vertAlign w:val="superscript"/>
    </w:rPr>
  </w:style>
  <w:style w:type="paragraph" w:styleId="Encabezado">
    <w:name w:val="header"/>
    <w:basedOn w:val="Normal"/>
    <w:link w:val="EncabezadoCar"/>
    <w:uiPriority w:val="99"/>
    <w:unhideWhenUsed w:val="1"/>
    <w:rsid w:val="00170AE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0AE2"/>
  </w:style>
  <w:style w:type="paragraph" w:styleId="Piedepgina">
    <w:name w:val="footer"/>
    <w:basedOn w:val="Normal"/>
    <w:link w:val="PiedepginaCar"/>
    <w:uiPriority w:val="99"/>
    <w:unhideWhenUsed w:val="1"/>
    <w:rsid w:val="00170AE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0AE2"/>
  </w:style>
  <w:style w:type="paragraph" w:styleId="Textodeglobo">
    <w:name w:val="Balloon Text"/>
    <w:basedOn w:val="Normal"/>
    <w:link w:val="TextodegloboCar"/>
    <w:uiPriority w:val="99"/>
    <w:semiHidden w:val="1"/>
    <w:unhideWhenUsed w:val="1"/>
    <w:rsid w:val="005828B8"/>
    <w:pPr>
      <w:spacing w:after="0"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5828B8"/>
    <w:rPr>
      <w:rFonts w:ascii="Times New Roman" w:cs="Times New Roman" w:hAnsi="Times New Roman"/>
      <w:sz w:val="18"/>
      <w:szCs w:val="18"/>
    </w:rPr>
  </w:style>
  <w:style w:type="character" w:styleId="Ttulo1Car" w:customStyle="1">
    <w:name w:val="Título 1 Car"/>
    <w:basedOn w:val="Fuentedeprrafopredeter"/>
    <w:link w:val="Ttulo1"/>
    <w:uiPriority w:val="9"/>
    <w:rsid w:val="00B73D15"/>
    <w:rPr>
      <w:rFonts w:ascii="Times New Roman" w:cs="Times New Roman" w:eastAsia="Times New Roman" w:hAnsi="Times New Roman"/>
      <w:b w:val="1"/>
      <w:sz w:val="48"/>
      <w:szCs w:val="48"/>
      <w:lang w:val="en-US"/>
    </w:rPr>
  </w:style>
  <w:style w:type="character" w:styleId="Ttulo2Car" w:customStyle="1">
    <w:name w:val="Título 2 Car"/>
    <w:basedOn w:val="Fuentedeprrafopredeter"/>
    <w:link w:val="Ttulo2"/>
    <w:uiPriority w:val="9"/>
    <w:rsid w:val="00F34492"/>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274D73"/>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F27F89"/>
    <w:rPr>
      <w:color w:val="954f72" w:themeColor="followedHyperlink"/>
      <w:u w:val="single"/>
    </w:rPr>
  </w:style>
  <w:style w:type="character" w:styleId="Ttulo3Car" w:customStyle="1">
    <w:name w:val="Título 3 Car"/>
    <w:basedOn w:val="Fuentedeprrafopredeter"/>
    <w:link w:val="Ttulo3"/>
    <w:uiPriority w:val="9"/>
    <w:rsid w:val="00ED596B"/>
    <w:rPr>
      <w:rFonts w:asciiTheme="majorHAnsi" w:cstheme="majorBidi" w:eastAsiaTheme="majorEastAsia" w:hAnsiTheme="majorHAnsi"/>
      <w:color w:val="1f3763" w:themeColor="accent1" w:themeShade="00007F"/>
      <w:sz w:val="24"/>
      <w:szCs w:val="24"/>
    </w:rPr>
  </w:style>
  <w:style w:type="paragraph" w:styleId="Revisin">
    <w:name w:val="Revision"/>
    <w:hidden w:val="1"/>
    <w:uiPriority w:val="99"/>
    <w:semiHidden w:val="1"/>
    <w:rsid w:val="00ED596B"/>
    <w:pPr>
      <w:spacing w:after="0" w:line="240" w:lineRule="auto"/>
    </w:pPr>
  </w:style>
  <w:style w:type="character" w:styleId="websearch-marked" w:customStyle="1">
    <w:name w:val="web_search-marked"/>
    <w:basedOn w:val="Fuentedeprrafopredeter"/>
    <w:rsid w:val="00A25896"/>
  </w:style>
  <w:style w:type="character" w:styleId="apple-converted-space" w:customStyle="1">
    <w:name w:val="apple-converted-space"/>
    <w:basedOn w:val="Fuentedeprrafopredeter"/>
    <w:rsid w:val="002D6ECE"/>
  </w:style>
  <w:style w:type="paragraph" w:styleId="Default" w:customStyle="1">
    <w:name w:val="Default"/>
    <w:rsid w:val="0088381B"/>
    <w:pPr>
      <w:autoSpaceDE w:val="0"/>
      <w:autoSpaceDN w:val="0"/>
      <w:adjustRightInd w:val="0"/>
      <w:spacing w:after="0" w:line="240" w:lineRule="auto"/>
    </w:pPr>
    <w:rPr>
      <w:rFonts w:ascii="Calibri" w:cs="Calibri" w:hAnsi="Calibri"/>
      <w:color w:val="000000"/>
      <w:sz w:val="24"/>
      <w:szCs w:val="24"/>
      <w:lang w:val="es-ES_tradnl"/>
    </w:rPr>
  </w:style>
  <w:style w:type="paragraph" w:styleId="Para3" w:customStyle="1">
    <w:name w:val="Para3"/>
    <w:basedOn w:val="Normal"/>
    <w:rsid w:val="009005F6"/>
    <w:pPr>
      <w:numPr>
        <w:ilvl w:val="2"/>
        <w:numId w:val="18"/>
      </w:numPr>
      <w:tabs>
        <w:tab w:val="left" w:pos="1980"/>
      </w:tabs>
      <w:spacing w:after="80" w:before="80" w:line="240" w:lineRule="auto"/>
      <w:jc w:val="both"/>
    </w:pPr>
    <w:rPr>
      <w:rFonts w:ascii="Times New Roman" w:cs="Times New Roman" w:eastAsia="Times New Roman" w:hAnsi="Times New Roman"/>
      <w:szCs w:val="20"/>
      <w:lang w:val="en-GB"/>
    </w:rPr>
  </w:style>
  <w:style w:type="paragraph" w:styleId="Para1" w:customStyle="1">
    <w:name w:val="Para1"/>
    <w:basedOn w:val="Normal"/>
    <w:link w:val="Para1Char"/>
    <w:rsid w:val="00E01181"/>
    <w:pPr>
      <w:spacing w:after="120" w:before="120" w:line="240" w:lineRule="auto"/>
      <w:jc w:val="both"/>
    </w:pPr>
    <w:rPr>
      <w:rFonts w:ascii="Times New Roman" w:cs="Times New Roman" w:eastAsia="Times New Roman" w:hAnsi="Times New Roman"/>
      <w:snapToGrid w:val="0"/>
      <w:szCs w:val="18"/>
      <w:lang w:eastAsia="x-none" w:val="en-GB"/>
    </w:rPr>
  </w:style>
  <w:style w:type="character" w:styleId="Para1Char" w:customStyle="1">
    <w:name w:val="Para1 Char"/>
    <w:link w:val="Para1"/>
    <w:locked w:val="1"/>
    <w:rsid w:val="00E01181"/>
    <w:rPr>
      <w:rFonts w:ascii="Times New Roman" w:cs="Times New Roman" w:eastAsia="Times New Roman" w:hAnsi="Times New Roman"/>
      <w:snapToGrid w:val="0"/>
      <w:szCs w:val="18"/>
      <w:lang w:eastAsia="x-none" w:val="en-GB"/>
    </w:rPr>
  </w:style>
  <w:style w:type="paragraph" w:styleId="paragraph" w:customStyle="1">
    <w:name w:val="paragraph"/>
    <w:basedOn w:val="Normal"/>
    <w:rsid w:val="00E01181"/>
    <w:pPr>
      <w:spacing w:after="100" w:afterAutospacing="1" w:before="100" w:beforeAutospacing="1" w:line="240" w:lineRule="auto"/>
    </w:pPr>
    <w:rPr>
      <w:rFonts w:ascii="Times New Roman" w:cs="Times New Roman" w:eastAsia="Times New Roman" w:hAnsi="Times New Roman"/>
      <w:sz w:val="24"/>
      <w:szCs w:val="24"/>
      <w:lang w:val="en-CA"/>
    </w:rPr>
  </w:style>
  <w:style w:type="character" w:styleId="eop" w:customStyle="1">
    <w:name w:val="eop"/>
    <w:basedOn w:val="Fuentedeprrafopredeter"/>
    <w:rsid w:val="000E5BE7"/>
  </w:style>
  <w:style w:type="table" w:styleId="92" w:customStyle="1">
    <w:name w:val="92"/>
    <w:basedOn w:val="Tablanormal"/>
    <w:rsid w:val="00E70AB4"/>
    <w:pPr>
      <w:spacing w:after="0" w:line="276" w:lineRule="auto"/>
      <w:jc w:val="both"/>
    </w:pPr>
    <w:rPr>
      <w:rFonts w:ascii="Helvetica Neue" w:cs="Helvetica Neue" w:eastAsia="Helvetica Neue" w:hAnsi="Helvetica Neue"/>
      <w:lang w:val="en-GB"/>
    </w:rPr>
    <w:tblPr>
      <w:tblStyleRowBandSize w:val="1"/>
      <w:tblStyleColBandSize w:val="1"/>
      <w:tblCellMar>
        <w:top w:w="100.0" w:type="dxa"/>
        <w:left w:w="100.0" w:type="dxa"/>
        <w:bottom w:w="100.0" w:type="dxa"/>
        <w:right w:w="100.0" w:type="dxa"/>
      </w:tblCellMar>
    </w:tblPr>
  </w:style>
  <w:style w:type="table" w:styleId="Tablaconcuadrcula">
    <w:name w:val="Table Grid"/>
    <w:basedOn w:val="Tablanormal"/>
    <w:uiPriority w:val="39"/>
    <w:rsid w:val="00C6606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link w:val="TtuloCar"/>
    <w:uiPriority w:val="1"/>
    <w:qFormat w:val="1"/>
    <w:rsid w:val="00225517"/>
    <w:pPr>
      <w:spacing w:after="200" w:line="240" w:lineRule="auto"/>
    </w:pPr>
    <w:rPr>
      <w:rFonts w:asciiTheme="majorHAnsi" w:cstheme="majorBidi" w:eastAsiaTheme="majorEastAsia" w:hAnsiTheme="majorHAnsi"/>
      <w:b w:val="1"/>
      <w:bCs w:val="1"/>
      <w:color w:val="44546a" w:themeColor="text2"/>
      <w:sz w:val="72"/>
      <w:szCs w:val="52"/>
      <w:lang w:val="es-ES"/>
    </w:rPr>
  </w:style>
  <w:style w:type="character" w:styleId="TtuloCar" w:customStyle="1">
    <w:name w:val="Título Car"/>
    <w:basedOn w:val="Fuentedeprrafopredeter"/>
    <w:link w:val="Ttulo"/>
    <w:uiPriority w:val="1"/>
    <w:rsid w:val="00225517"/>
    <w:rPr>
      <w:rFonts w:asciiTheme="majorHAnsi" w:cstheme="majorBidi" w:eastAsiaTheme="majorEastAsia" w:hAnsiTheme="majorHAnsi"/>
      <w:b w:val="1"/>
      <w:bCs w:val="1"/>
      <w:color w:val="44546a" w:themeColor="text2"/>
      <w:sz w:val="72"/>
      <w:szCs w:val="52"/>
      <w:lang w:val="es-ES"/>
    </w:rPr>
  </w:style>
  <w:style w:type="character" w:styleId="Mencinsinresolver">
    <w:name w:val="Unresolved Mention"/>
    <w:basedOn w:val="Fuentedeprrafopredeter"/>
    <w:uiPriority w:val="99"/>
    <w:semiHidden w:val="1"/>
    <w:unhideWhenUsed w:val="1"/>
    <w:rsid w:val="00F55471"/>
    <w:rPr>
      <w:color w:val="605e5c"/>
      <w:shd w:color="auto" w:fill="e1dfdd" w:val="clear"/>
    </w:rPr>
  </w:style>
  <w:style w:type="character" w:styleId="A8" w:customStyle="1">
    <w:name w:val="A8"/>
    <w:uiPriority w:val="99"/>
    <w:rsid w:val="00DC3159"/>
    <w:rPr>
      <w:rFonts w:cs="HelveticaNeueLT Std Lt"/>
      <w:color w:val="1f5c9e"/>
      <w:sz w:val="18"/>
      <w:szCs w:val="18"/>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unwomen.org/en/digital-library/publications/2020/04/policy-brief-the-impact-of-covid-19-on-women" TargetMode="External"/><Relationship Id="rId22" Type="http://schemas.openxmlformats.org/officeDocument/2006/relationships/hyperlink" Target="https://www.thegef.org/sites/default/files/documents/gef_environmental_social_safeguards_policy.pdf" TargetMode="External"/><Relationship Id="rId10" Type="http://schemas.openxmlformats.org/officeDocument/2006/relationships/hyperlink" Target="https://portals.iucn.org/union/sites/union/files/doc/c-19-gbv-env-v2_1.pdf" TargetMode="External"/><Relationship Id="rId21" Type="http://schemas.openxmlformats.org/officeDocument/2006/relationships/hyperlink" Target="https://www.greenclimate.fund/sites/default/files/decision/bbm-2021/decision-bbm-2021-08-annex-i-bbm-2021-08-decision-board-revised-policy-seah.pdf" TargetMode="External"/><Relationship Id="rId13" Type="http://schemas.openxmlformats.org/officeDocument/2006/relationships/hyperlink" Target="https://doi.org/10.2305/IUCN.CH.2020.03.en" TargetMode="External"/><Relationship Id="rId12" Type="http://schemas.openxmlformats.org/officeDocument/2006/relationships/hyperlink" Target="https://doi.org/10.2305/IUCN.CH.2020.03.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2305/IUCN.CH.2020.03.en" TargetMode="External"/><Relationship Id="rId15" Type="http://schemas.openxmlformats.org/officeDocument/2006/relationships/hyperlink" Target="https://doi.org/10.2305/IUCN.CH.2020.03.en" TargetMode="External"/><Relationship Id="rId14" Type="http://schemas.openxmlformats.org/officeDocument/2006/relationships/hyperlink" Target="https://doi.org/10.2305/IUCN.CH.2020.03.en" TargetMode="External"/><Relationship Id="rId17" Type="http://schemas.openxmlformats.org/officeDocument/2006/relationships/hyperlink" Target="https://doi.org/10.2305/IUCN.CH.2020.03.en" TargetMode="External"/><Relationship Id="rId16" Type="http://schemas.openxmlformats.org/officeDocument/2006/relationships/hyperlink" Target="https://doi.org/10.2305/IUCN.CH.2020.03.en"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www.iucn.org/theme/gender" TargetMode="External"/><Relationship Id="rId2" Type="http://schemas.openxmlformats.org/officeDocument/2006/relationships/hyperlink" Target="https://genderandenvironment.org/agent-gbv-en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efb0/1f84/a892b98d2982a829962b6371/wg2020-02-03-en.pdf" TargetMode="External"/><Relationship Id="rId2" Type="http://schemas.openxmlformats.org/officeDocument/2006/relationships/hyperlink" Target="https://www.cbd.int/doc/c/fba3/802a/127a16fe62ec6ade006cf405/sbi-03-04-add2-rev1-e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X/cqGRGg8G97OUQGgkBZXeJq1Q==">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2021-05-17T20:36:00Z</dcterms:created>
  <dc:creator>Lesly T Aldana 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0x01010046EA2EB673B45044AF15718EC3DDFA95</vt:lpwstr>
  </property>
</Properties>
</file>