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1AE138" w14:textId="19B74CFA" w:rsidR="00C37107" w:rsidRDefault="00C37107" w:rsidP="00C37107">
      <w:pPr>
        <w:spacing w:line="240" w:lineRule="auto"/>
        <w:rPr>
          <w:b/>
          <w:color w:val="2E74B5" w:themeColor="accent1" w:themeShade="BF"/>
          <w:sz w:val="28"/>
          <w:szCs w:val="28"/>
        </w:rPr>
      </w:pPr>
      <w:r>
        <w:rPr>
          <w:b/>
          <w:color w:val="2E74B5" w:themeColor="accent1" w:themeShade="BF"/>
          <w:sz w:val="28"/>
          <w:szCs w:val="28"/>
        </w:rPr>
        <w:t xml:space="preserve">                </w:t>
      </w:r>
      <w:r w:rsidR="004F3BB8">
        <w:rPr>
          <w:noProof/>
        </w:rPr>
        <w:drawing>
          <wp:inline distT="0" distB="0" distL="0" distR="0" wp14:anchorId="2810CE8A" wp14:editId="21A1B936">
            <wp:extent cx="6107430" cy="599434"/>
            <wp:effectExtent l="0" t="0" r="0" b="0"/>
            <wp:docPr id="11" name="Content Placeholder 3">
              <a:extLst xmlns:a="http://schemas.openxmlformats.org/drawingml/2006/main">
                <a:ext uri="{FF2B5EF4-FFF2-40B4-BE49-F238E27FC236}">
                  <a16:creationId xmlns:a16="http://schemas.microsoft.com/office/drawing/2014/main" id="{A9CE87C9-B4DB-476C-998C-C7AB43F31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tent Placeholder 3">
                      <a:extLst>
                        <a:ext uri="{FF2B5EF4-FFF2-40B4-BE49-F238E27FC236}">
                          <a16:creationId xmlns:a16="http://schemas.microsoft.com/office/drawing/2014/main" id="{A9CE87C9-B4DB-476C-998C-C7AB43F311C8}"/>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5270" cy="657130"/>
                    </a:xfrm>
                    <a:prstGeom prst="rect">
                      <a:avLst/>
                    </a:prstGeom>
                  </pic:spPr>
                </pic:pic>
              </a:graphicData>
            </a:graphic>
          </wp:inline>
        </w:drawing>
      </w:r>
    </w:p>
    <w:p w14:paraId="62781B95" w14:textId="77777777" w:rsidR="004E5EF8" w:rsidRDefault="004E5EF8" w:rsidP="004E5EF8">
      <w:pPr>
        <w:spacing w:after="0" w:line="240" w:lineRule="auto"/>
        <w:jc w:val="center"/>
        <w:rPr>
          <w:b/>
          <w:color w:val="2E74B5" w:themeColor="accent1" w:themeShade="BF"/>
          <w:sz w:val="44"/>
          <w:szCs w:val="44"/>
        </w:rPr>
      </w:pPr>
    </w:p>
    <w:p w14:paraId="4325FC6F" w14:textId="7ED2252E" w:rsidR="006E277B" w:rsidRDefault="006E277B" w:rsidP="004E5EF8">
      <w:pPr>
        <w:spacing w:after="0" w:line="240" w:lineRule="auto"/>
        <w:jc w:val="center"/>
        <w:rPr>
          <w:b/>
          <w:color w:val="2E74B5" w:themeColor="accent1" w:themeShade="BF"/>
          <w:sz w:val="44"/>
          <w:szCs w:val="44"/>
        </w:rPr>
      </w:pPr>
    </w:p>
    <w:p w14:paraId="5EE95BD5" w14:textId="3974D99D" w:rsidR="00717322" w:rsidRDefault="00717322" w:rsidP="004E5EF8">
      <w:pPr>
        <w:spacing w:after="0" w:line="240" w:lineRule="auto"/>
        <w:jc w:val="center"/>
        <w:rPr>
          <w:b/>
          <w:color w:val="2E74B5" w:themeColor="accent1" w:themeShade="BF"/>
          <w:sz w:val="44"/>
          <w:szCs w:val="44"/>
        </w:rPr>
      </w:pPr>
    </w:p>
    <w:p w14:paraId="52CD30B4" w14:textId="24D24CF9" w:rsidR="00717322" w:rsidRDefault="00717322" w:rsidP="004E5EF8">
      <w:pPr>
        <w:spacing w:after="0" w:line="240" w:lineRule="auto"/>
        <w:jc w:val="center"/>
        <w:rPr>
          <w:b/>
          <w:color w:val="2E74B5" w:themeColor="accent1" w:themeShade="BF"/>
          <w:sz w:val="44"/>
          <w:szCs w:val="44"/>
        </w:rPr>
      </w:pPr>
    </w:p>
    <w:p w14:paraId="32DFAF4B" w14:textId="77777777" w:rsidR="00717322" w:rsidRDefault="00717322" w:rsidP="004E5EF8">
      <w:pPr>
        <w:spacing w:after="0" w:line="240" w:lineRule="auto"/>
        <w:jc w:val="center"/>
        <w:rPr>
          <w:b/>
          <w:color w:val="2E74B5" w:themeColor="accent1" w:themeShade="BF"/>
          <w:sz w:val="44"/>
          <w:szCs w:val="44"/>
        </w:rPr>
      </w:pPr>
    </w:p>
    <w:p w14:paraId="4F3ECAC7" w14:textId="32DF7F5E" w:rsidR="00C37107" w:rsidRPr="00926D2F" w:rsidRDefault="00096170" w:rsidP="004E5EF8">
      <w:pPr>
        <w:spacing w:after="0" w:line="240" w:lineRule="auto"/>
        <w:jc w:val="center"/>
        <w:rPr>
          <w:b/>
          <w:color w:val="2E74B5" w:themeColor="accent1" w:themeShade="BF"/>
          <w:sz w:val="44"/>
          <w:szCs w:val="44"/>
        </w:rPr>
      </w:pPr>
      <w:r w:rsidRPr="00926D2F">
        <w:rPr>
          <w:b/>
          <w:color w:val="2E74B5" w:themeColor="accent1" w:themeShade="BF"/>
          <w:sz w:val="44"/>
          <w:szCs w:val="44"/>
        </w:rPr>
        <w:t>Directorate of International Cooperation Iceland</w:t>
      </w:r>
      <w:r w:rsidR="00926D2F" w:rsidRPr="00926D2F">
        <w:rPr>
          <w:b/>
          <w:color w:val="2E74B5" w:themeColor="accent1" w:themeShade="BF"/>
          <w:sz w:val="44"/>
          <w:szCs w:val="44"/>
        </w:rPr>
        <w:t xml:space="preserve"> </w:t>
      </w:r>
      <w:r w:rsidRPr="00926D2F">
        <w:rPr>
          <w:b/>
          <w:color w:val="2E74B5" w:themeColor="accent1" w:themeShade="BF"/>
          <w:sz w:val="44"/>
          <w:szCs w:val="44"/>
        </w:rPr>
        <w:t>– UNDP</w:t>
      </w:r>
      <w:r w:rsidR="00926D2F" w:rsidRPr="00926D2F">
        <w:rPr>
          <w:b/>
          <w:color w:val="2E74B5" w:themeColor="accent1" w:themeShade="BF"/>
          <w:sz w:val="44"/>
          <w:szCs w:val="44"/>
        </w:rPr>
        <w:t xml:space="preserve"> </w:t>
      </w:r>
      <w:r w:rsidRPr="00926D2F">
        <w:rPr>
          <w:b/>
          <w:color w:val="2E74B5" w:themeColor="accent1" w:themeShade="BF"/>
          <w:sz w:val="44"/>
          <w:szCs w:val="44"/>
        </w:rPr>
        <w:t xml:space="preserve">Gender Equality Certification </w:t>
      </w:r>
      <w:proofErr w:type="spellStart"/>
      <w:r w:rsidRPr="00926D2F">
        <w:rPr>
          <w:b/>
          <w:color w:val="2E74B5" w:themeColor="accent1" w:themeShade="BF"/>
          <w:sz w:val="44"/>
          <w:szCs w:val="44"/>
        </w:rPr>
        <w:t>Programme</w:t>
      </w:r>
      <w:proofErr w:type="spellEnd"/>
    </w:p>
    <w:p w14:paraId="0EDCF28C" w14:textId="77777777" w:rsidR="004E24E3" w:rsidRDefault="004E24E3" w:rsidP="004E5EF8">
      <w:pPr>
        <w:spacing w:after="0" w:line="240" w:lineRule="auto"/>
        <w:jc w:val="center"/>
        <w:rPr>
          <w:b/>
          <w:sz w:val="24"/>
          <w:szCs w:val="24"/>
        </w:rPr>
      </w:pPr>
    </w:p>
    <w:p w14:paraId="5513B787" w14:textId="77777777" w:rsidR="004E5EF8" w:rsidRDefault="004E5EF8" w:rsidP="004E5EF8">
      <w:pPr>
        <w:spacing w:after="0" w:line="240" w:lineRule="auto"/>
        <w:jc w:val="center"/>
        <w:rPr>
          <w:b/>
          <w:sz w:val="32"/>
          <w:szCs w:val="32"/>
        </w:rPr>
      </w:pPr>
    </w:p>
    <w:p w14:paraId="66393226" w14:textId="06DA8A25" w:rsidR="00B2295A" w:rsidRDefault="00C37107" w:rsidP="004E5EF8">
      <w:pPr>
        <w:spacing w:after="0" w:line="240" w:lineRule="auto"/>
        <w:jc w:val="center"/>
        <w:rPr>
          <w:b/>
          <w:sz w:val="32"/>
          <w:szCs w:val="32"/>
        </w:rPr>
      </w:pPr>
      <w:r w:rsidRPr="00926D2F">
        <w:rPr>
          <w:b/>
          <w:sz w:val="32"/>
          <w:szCs w:val="32"/>
        </w:rPr>
        <w:t xml:space="preserve">Feedback </w:t>
      </w:r>
      <w:r w:rsidR="00096170" w:rsidRPr="00926D2F">
        <w:rPr>
          <w:b/>
          <w:sz w:val="32"/>
          <w:szCs w:val="32"/>
        </w:rPr>
        <w:t xml:space="preserve">to Iceland Directorate </w:t>
      </w:r>
      <w:r w:rsidR="004E24E3" w:rsidRPr="00926D2F">
        <w:rPr>
          <w:b/>
          <w:sz w:val="32"/>
          <w:szCs w:val="32"/>
        </w:rPr>
        <w:t xml:space="preserve">IADC </w:t>
      </w:r>
      <w:r w:rsidR="00B2295A">
        <w:rPr>
          <w:b/>
          <w:sz w:val="32"/>
          <w:szCs w:val="32"/>
        </w:rPr>
        <w:t xml:space="preserve"> </w:t>
      </w:r>
    </w:p>
    <w:p w14:paraId="36F61F4B" w14:textId="50C7FE5B" w:rsidR="00C37107" w:rsidRPr="00926D2F" w:rsidRDefault="004E24E3" w:rsidP="004E5EF8">
      <w:pPr>
        <w:spacing w:after="0" w:line="240" w:lineRule="auto"/>
        <w:jc w:val="center"/>
        <w:rPr>
          <w:b/>
          <w:sz w:val="32"/>
          <w:szCs w:val="32"/>
        </w:rPr>
      </w:pPr>
      <w:r w:rsidRPr="00926D2F">
        <w:rPr>
          <w:b/>
          <w:sz w:val="32"/>
          <w:szCs w:val="32"/>
        </w:rPr>
        <w:t xml:space="preserve">for </w:t>
      </w:r>
      <w:r w:rsidR="00B2295A">
        <w:rPr>
          <w:b/>
          <w:sz w:val="32"/>
          <w:szCs w:val="32"/>
        </w:rPr>
        <w:t xml:space="preserve">HQ and </w:t>
      </w:r>
      <w:r w:rsidRPr="00926D2F">
        <w:rPr>
          <w:b/>
          <w:sz w:val="32"/>
          <w:szCs w:val="32"/>
        </w:rPr>
        <w:t>Uganda and Malawi missions</w:t>
      </w:r>
    </w:p>
    <w:p w14:paraId="6BC15C51" w14:textId="08F255E8" w:rsidR="00CE510B" w:rsidRDefault="00CE510B" w:rsidP="004E5EF8">
      <w:pPr>
        <w:spacing w:after="0" w:line="240" w:lineRule="auto"/>
        <w:jc w:val="center"/>
        <w:rPr>
          <w:b/>
          <w:sz w:val="32"/>
          <w:szCs w:val="32"/>
        </w:rPr>
      </w:pPr>
      <w:bookmarkStart w:id="0" w:name="_Hlk48487479"/>
      <w:r w:rsidRPr="00926D2F">
        <w:rPr>
          <w:b/>
          <w:sz w:val="32"/>
          <w:szCs w:val="32"/>
        </w:rPr>
        <w:t>August 2020</w:t>
      </w:r>
    </w:p>
    <w:bookmarkEnd w:id="0"/>
    <w:p w14:paraId="53D65C0E" w14:textId="61965675" w:rsidR="006E277B" w:rsidRDefault="006E277B" w:rsidP="004E5EF8">
      <w:pPr>
        <w:spacing w:after="0" w:line="240" w:lineRule="auto"/>
        <w:jc w:val="center"/>
        <w:rPr>
          <w:b/>
          <w:sz w:val="32"/>
          <w:szCs w:val="32"/>
        </w:rPr>
      </w:pPr>
    </w:p>
    <w:p w14:paraId="5F7FAA62" w14:textId="3FB85050" w:rsidR="006E277B" w:rsidRDefault="006E277B" w:rsidP="004E5EF8">
      <w:pPr>
        <w:spacing w:after="0" w:line="240" w:lineRule="auto"/>
        <w:jc w:val="center"/>
        <w:rPr>
          <w:b/>
          <w:sz w:val="32"/>
          <w:szCs w:val="32"/>
        </w:rPr>
      </w:pPr>
    </w:p>
    <w:p w14:paraId="1CEDD752" w14:textId="6B6A187D" w:rsidR="006E277B" w:rsidRDefault="006E277B" w:rsidP="004E5EF8">
      <w:pPr>
        <w:spacing w:after="0" w:line="240" w:lineRule="auto"/>
        <w:jc w:val="center"/>
        <w:rPr>
          <w:b/>
          <w:sz w:val="32"/>
          <w:szCs w:val="32"/>
        </w:rPr>
      </w:pPr>
    </w:p>
    <w:p w14:paraId="603A59FC" w14:textId="399B0C03" w:rsidR="006E277B" w:rsidRDefault="006E277B" w:rsidP="004E5EF8">
      <w:pPr>
        <w:spacing w:after="0" w:line="240" w:lineRule="auto"/>
        <w:jc w:val="center"/>
        <w:rPr>
          <w:b/>
          <w:sz w:val="32"/>
          <w:szCs w:val="32"/>
        </w:rPr>
      </w:pPr>
    </w:p>
    <w:p w14:paraId="0C28A569" w14:textId="0E5E6A37" w:rsidR="006E277B" w:rsidRDefault="006E277B" w:rsidP="004E5EF8">
      <w:pPr>
        <w:spacing w:after="0" w:line="240" w:lineRule="auto"/>
        <w:jc w:val="center"/>
        <w:rPr>
          <w:b/>
          <w:sz w:val="32"/>
          <w:szCs w:val="32"/>
        </w:rPr>
      </w:pPr>
    </w:p>
    <w:p w14:paraId="571D74E1" w14:textId="2019BEB9" w:rsidR="006E277B" w:rsidRDefault="006E277B" w:rsidP="004E5EF8">
      <w:pPr>
        <w:spacing w:after="0" w:line="240" w:lineRule="auto"/>
        <w:jc w:val="center"/>
        <w:rPr>
          <w:b/>
          <w:sz w:val="32"/>
          <w:szCs w:val="32"/>
        </w:rPr>
      </w:pPr>
    </w:p>
    <w:p w14:paraId="5703B88D" w14:textId="77777777" w:rsidR="006E277B" w:rsidRDefault="006E277B" w:rsidP="006E277B">
      <w:pPr>
        <w:spacing w:after="0" w:line="240" w:lineRule="auto"/>
        <w:jc w:val="right"/>
        <w:rPr>
          <w:b/>
          <w:color w:val="2E74B5" w:themeColor="accent1" w:themeShade="BF"/>
          <w:sz w:val="32"/>
          <w:szCs w:val="32"/>
        </w:rPr>
      </w:pPr>
    </w:p>
    <w:p w14:paraId="610102B8" w14:textId="77777777" w:rsidR="00717322" w:rsidRDefault="00717322" w:rsidP="00717322">
      <w:pPr>
        <w:spacing w:after="0" w:line="240" w:lineRule="auto"/>
        <w:rPr>
          <w:b/>
          <w:color w:val="2E74B5" w:themeColor="accent1" w:themeShade="BF"/>
          <w:sz w:val="32"/>
          <w:szCs w:val="32"/>
        </w:rPr>
      </w:pPr>
    </w:p>
    <w:p w14:paraId="16B670AA" w14:textId="3BBE181F" w:rsidR="006E277B" w:rsidRPr="006E277B" w:rsidRDefault="006E277B" w:rsidP="006E277B">
      <w:pPr>
        <w:spacing w:after="0" w:line="240" w:lineRule="auto"/>
        <w:jc w:val="right"/>
        <w:rPr>
          <w:b/>
          <w:color w:val="2E74B5" w:themeColor="accent1" w:themeShade="BF"/>
          <w:sz w:val="32"/>
          <w:szCs w:val="32"/>
        </w:rPr>
      </w:pPr>
      <w:r w:rsidRPr="006E277B">
        <w:rPr>
          <w:b/>
          <w:color w:val="2E74B5" w:themeColor="accent1" w:themeShade="BF"/>
          <w:sz w:val="32"/>
          <w:szCs w:val="32"/>
        </w:rPr>
        <w:t>Gender Equality Seal Team</w:t>
      </w:r>
    </w:p>
    <w:p w14:paraId="48F6E35D" w14:textId="4A54AAFC" w:rsidR="006E277B" w:rsidRDefault="006E277B" w:rsidP="006E277B">
      <w:pPr>
        <w:spacing w:after="0" w:line="240" w:lineRule="auto"/>
        <w:jc w:val="right"/>
        <w:rPr>
          <w:b/>
          <w:color w:val="2E74B5" w:themeColor="accent1" w:themeShade="BF"/>
          <w:sz w:val="32"/>
          <w:szCs w:val="32"/>
        </w:rPr>
      </w:pPr>
      <w:r w:rsidRPr="006E277B">
        <w:rPr>
          <w:b/>
          <w:color w:val="2E74B5" w:themeColor="accent1" w:themeShade="BF"/>
          <w:sz w:val="32"/>
          <w:szCs w:val="32"/>
        </w:rPr>
        <w:t>August 2020</w:t>
      </w:r>
    </w:p>
    <w:p w14:paraId="2D305E1D" w14:textId="33974CD6" w:rsidR="00717322" w:rsidRDefault="00717322" w:rsidP="006E277B">
      <w:pPr>
        <w:spacing w:after="0" w:line="240" w:lineRule="auto"/>
        <w:jc w:val="right"/>
        <w:rPr>
          <w:b/>
          <w:color w:val="2E74B5" w:themeColor="accent1" w:themeShade="BF"/>
          <w:sz w:val="32"/>
          <w:szCs w:val="32"/>
        </w:rPr>
      </w:pPr>
    </w:p>
    <w:p w14:paraId="4E6B8076" w14:textId="0D2C1D17" w:rsidR="00717322" w:rsidRDefault="00717322" w:rsidP="006E277B">
      <w:pPr>
        <w:spacing w:after="0" w:line="240" w:lineRule="auto"/>
        <w:jc w:val="right"/>
        <w:rPr>
          <w:b/>
          <w:color w:val="2E74B5" w:themeColor="accent1" w:themeShade="BF"/>
          <w:sz w:val="32"/>
          <w:szCs w:val="32"/>
        </w:rPr>
      </w:pPr>
    </w:p>
    <w:p w14:paraId="7064B63F" w14:textId="62B0863F" w:rsidR="00717322" w:rsidRDefault="00717322" w:rsidP="006E277B">
      <w:pPr>
        <w:spacing w:after="0" w:line="240" w:lineRule="auto"/>
        <w:jc w:val="right"/>
        <w:rPr>
          <w:b/>
          <w:color w:val="2E74B5" w:themeColor="accent1" w:themeShade="BF"/>
          <w:sz w:val="32"/>
          <w:szCs w:val="32"/>
        </w:rPr>
      </w:pPr>
    </w:p>
    <w:p w14:paraId="291B065D" w14:textId="0CCFF1B5" w:rsidR="00717322" w:rsidRDefault="00717322" w:rsidP="006E277B">
      <w:pPr>
        <w:spacing w:after="0" w:line="240" w:lineRule="auto"/>
        <w:jc w:val="right"/>
        <w:rPr>
          <w:b/>
          <w:color w:val="2E74B5" w:themeColor="accent1" w:themeShade="BF"/>
          <w:sz w:val="32"/>
          <w:szCs w:val="32"/>
        </w:rPr>
      </w:pPr>
    </w:p>
    <w:p w14:paraId="20787104" w14:textId="77777777" w:rsidR="00717322" w:rsidRPr="006E277B" w:rsidRDefault="00717322" w:rsidP="006E277B">
      <w:pPr>
        <w:spacing w:after="0" w:line="240" w:lineRule="auto"/>
        <w:jc w:val="right"/>
        <w:rPr>
          <w:b/>
          <w:color w:val="2E74B5" w:themeColor="accent1" w:themeShade="BF"/>
          <w:sz w:val="32"/>
          <w:szCs w:val="32"/>
        </w:rPr>
      </w:pPr>
    </w:p>
    <w:p w14:paraId="39CD2225" w14:textId="4F449327" w:rsidR="00CE510B" w:rsidRDefault="00B2295A" w:rsidP="004F3BB8">
      <w:pPr>
        <w:pStyle w:val="ListParagraph"/>
        <w:numPr>
          <w:ilvl w:val="0"/>
          <w:numId w:val="7"/>
        </w:numPr>
        <w:spacing w:after="120" w:line="240" w:lineRule="auto"/>
        <w:ind w:left="360"/>
        <w:jc w:val="both"/>
        <w:rPr>
          <w:rFonts w:cs="Lohit Hindi"/>
          <w:bCs/>
          <w:color w:val="2E74B5" w:themeColor="accent1" w:themeShade="BF"/>
          <w:sz w:val="28"/>
          <w:szCs w:val="28"/>
        </w:rPr>
      </w:pPr>
      <w:r>
        <w:rPr>
          <w:rFonts w:cs="Lohit Hindi"/>
          <w:bCs/>
          <w:color w:val="2E74B5" w:themeColor="accent1" w:themeShade="BF"/>
          <w:sz w:val="28"/>
          <w:szCs w:val="28"/>
        </w:rPr>
        <w:lastRenderedPageBreak/>
        <w:t>Introduction</w:t>
      </w:r>
      <w:r w:rsidR="00CE510B">
        <w:rPr>
          <w:rFonts w:cs="Lohit Hindi"/>
          <w:bCs/>
          <w:color w:val="2E74B5" w:themeColor="accent1" w:themeShade="BF"/>
          <w:sz w:val="28"/>
          <w:szCs w:val="28"/>
        </w:rPr>
        <w:t>.</w:t>
      </w:r>
    </w:p>
    <w:p w14:paraId="66A06BE5" w14:textId="068F86D7" w:rsidR="00CE510B" w:rsidRPr="00C37107" w:rsidRDefault="00CE510B" w:rsidP="004F3BB8">
      <w:pPr>
        <w:spacing w:after="120" w:line="240" w:lineRule="auto"/>
        <w:jc w:val="both"/>
        <w:rPr>
          <w:rFonts w:cs="Lohit Hindi"/>
          <w:bCs/>
          <w:sz w:val="24"/>
          <w:szCs w:val="24"/>
        </w:rPr>
      </w:pPr>
      <w:r w:rsidRPr="00C37107">
        <w:rPr>
          <w:rFonts w:cs="Lohit Hindi"/>
          <w:bCs/>
          <w:sz w:val="24"/>
          <w:szCs w:val="24"/>
        </w:rPr>
        <w:t xml:space="preserve">This document has been developed by the UNDP Gender Equality Seal </w:t>
      </w:r>
      <w:r w:rsidR="00B2295A">
        <w:rPr>
          <w:rFonts w:cs="Lohit Hindi"/>
          <w:bCs/>
          <w:sz w:val="24"/>
          <w:szCs w:val="24"/>
        </w:rPr>
        <w:t>T</w:t>
      </w:r>
      <w:r w:rsidRPr="00C37107">
        <w:rPr>
          <w:rFonts w:cs="Lohit Hindi"/>
          <w:bCs/>
          <w:sz w:val="24"/>
          <w:szCs w:val="24"/>
        </w:rPr>
        <w:t>eam</w:t>
      </w:r>
      <w:r>
        <w:rPr>
          <w:rFonts w:cs="Lohit Hindi"/>
          <w:bCs/>
          <w:sz w:val="24"/>
          <w:szCs w:val="24"/>
        </w:rPr>
        <w:t>.  It aims to:</w:t>
      </w:r>
    </w:p>
    <w:p w14:paraId="58C6EA0D" w14:textId="77777777" w:rsidR="00CE510B" w:rsidRPr="00C37107" w:rsidRDefault="00CE510B" w:rsidP="004F3BB8">
      <w:pPr>
        <w:pStyle w:val="ListParagraph"/>
        <w:widowControl w:val="0"/>
        <w:numPr>
          <w:ilvl w:val="0"/>
          <w:numId w:val="3"/>
        </w:numPr>
        <w:suppressAutoHyphens/>
        <w:spacing w:after="120" w:line="240" w:lineRule="auto"/>
        <w:ind w:left="360"/>
        <w:contextualSpacing w:val="0"/>
        <w:jc w:val="both"/>
        <w:rPr>
          <w:rFonts w:cs="Lohit Hindi"/>
          <w:bCs/>
          <w:color w:val="auto"/>
        </w:rPr>
      </w:pPr>
      <w:r w:rsidRPr="00C37107">
        <w:rPr>
          <w:rFonts w:cs="Lohit Hindi"/>
          <w:bCs/>
          <w:color w:val="auto"/>
        </w:rPr>
        <w:t xml:space="preserve">Provide a comprehensive feedback focused on the different areas, indicators and benchmarks assessed by the benchmarking matrix, and analyze the connections between them. </w:t>
      </w:r>
    </w:p>
    <w:p w14:paraId="620DE9FC" w14:textId="77777777" w:rsidR="00CE510B" w:rsidRPr="0081607A" w:rsidRDefault="00CE510B" w:rsidP="004F3BB8">
      <w:pPr>
        <w:pStyle w:val="ListParagraph"/>
        <w:widowControl w:val="0"/>
        <w:numPr>
          <w:ilvl w:val="0"/>
          <w:numId w:val="3"/>
        </w:numPr>
        <w:suppressAutoHyphens/>
        <w:spacing w:after="120" w:line="240" w:lineRule="auto"/>
        <w:ind w:left="360"/>
        <w:contextualSpacing w:val="0"/>
        <w:jc w:val="both"/>
        <w:rPr>
          <w:rFonts w:cs="Lohit Hindi"/>
          <w:bCs/>
          <w:color w:val="auto"/>
        </w:rPr>
      </w:pPr>
      <w:r w:rsidRPr="00C37107">
        <w:rPr>
          <w:rFonts w:cs="Lohit Hindi"/>
          <w:bCs/>
          <w:color w:val="auto"/>
        </w:rPr>
        <w:t xml:space="preserve"> </w:t>
      </w:r>
      <w:r w:rsidRPr="0081607A">
        <w:rPr>
          <w:rFonts w:cs="Lohit Hindi"/>
          <w:bCs/>
          <w:color w:val="auto"/>
        </w:rPr>
        <w:t xml:space="preserve">Support overall on-going efforts of your </w:t>
      </w:r>
      <w:r>
        <w:rPr>
          <w:rFonts w:cs="Lohit Hindi"/>
          <w:bCs/>
          <w:color w:val="auto"/>
        </w:rPr>
        <w:t>organization</w:t>
      </w:r>
      <w:r w:rsidRPr="0081607A">
        <w:rPr>
          <w:rFonts w:cs="Lohit Hindi"/>
          <w:bCs/>
          <w:color w:val="auto"/>
        </w:rPr>
        <w:t xml:space="preserve"> in mainstreaming gender equality. </w:t>
      </w:r>
    </w:p>
    <w:p w14:paraId="4ED1358A" w14:textId="77777777" w:rsidR="00CE510B" w:rsidRPr="00B2295A" w:rsidRDefault="00CE510B" w:rsidP="004F3BB8">
      <w:pPr>
        <w:spacing w:after="120" w:line="240" w:lineRule="auto"/>
        <w:jc w:val="both"/>
        <w:rPr>
          <w:rFonts w:cs="Lohit Hindi"/>
          <w:bCs/>
          <w:color w:val="2E74B5" w:themeColor="accent1" w:themeShade="BF"/>
          <w:sz w:val="24"/>
          <w:szCs w:val="24"/>
        </w:rPr>
      </w:pPr>
    </w:p>
    <w:p w14:paraId="0DA3A6C8" w14:textId="070EB33C" w:rsidR="00CE510B" w:rsidRDefault="00CE510B" w:rsidP="004F3BB8">
      <w:pPr>
        <w:pStyle w:val="ListParagraph"/>
        <w:numPr>
          <w:ilvl w:val="0"/>
          <w:numId w:val="7"/>
        </w:numPr>
        <w:spacing w:after="120" w:line="240" w:lineRule="auto"/>
        <w:ind w:left="360"/>
        <w:jc w:val="both"/>
        <w:rPr>
          <w:rFonts w:cs="Lohit Hindi"/>
          <w:bCs/>
          <w:color w:val="2E74B5" w:themeColor="accent1" w:themeShade="BF"/>
          <w:sz w:val="28"/>
          <w:szCs w:val="28"/>
        </w:rPr>
      </w:pPr>
      <w:r w:rsidRPr="00CE510B">
        <w:rPr>
          <w:rFonts w:cs="Lohit Hindi"/>
          <w:bCs/>
          <w:color w:val="2E74B5" w:themeColor="accent1" w:themeShade="BF"/>
          <w:sz w:val="28"/>
          <w:szCs w:val="28"/>
        </w:rPr>
        <w:t>Overall results</w:t>
      </w:r>
      <w:r>
        <w:rPr>
          <w:rFonts w:cs="Lohit Hindi"/>
          <w:bCs/>
          <w:color w:val="2E74B5" w:themeColor="accent1" w:themeShade="BF"/>
          <w:sz w:val="28"/>
          <w:szCs w:val="28"/>
        </w:rPr>
        <w:t>.</w:t>
      </w:r>
    </w:p>
    <w:p w14:paraId="75CDD3DC" w14:textId="1878C92B" w:rsidR="00C37107" w:rsidRPr="00561F2F" w:rsidRDefault="00096170" w:rsidP="004F3BB8">
      <w:pPr>
        <w:spacing w:after="120" w:line="240" w:lineRule="auto"/>
        <w:jc w:val="center"/>
        <w:rPr>
          <w:rFonts w:cs="Lohit Hindi"/>
          <w:b/>
          <w:bCs/>
          <w:sz w:val="24"/>
          <w:szCs w:val="24"/>
        </w:rPr>
      </w:pPr>
      <w:r>
        <w:rPr>
          <w:rFonts w:cs="Lohit Hindi"/>
          <w:b/>
          <w:bCs/>
          <w:sz w:val="24"/>
          <w:szCs w:val="24"/>
        </w:rPr>
        <w:t xml:space="preserve">IADC </w:t>
      </w:r>
      <w:proofErr w:type="gramStart"/>
      <w:r w:rsidR="00C37107" w:rsidRPr="00C83CDB">
        <w:rPr>
          <w:rFonts w:cs="Lohit Hindi"/>
          <w:b/>
          <w:bCs/>
          <w:sz w:val="24"/>
          <w:szCs w:val="24"/>
        </w:rPr>
        <w:t>at</w:t>
      </w:r>
      <w:r w:rsidR="00C37107" w:rsidRPr="00561F2F">
        <w:rPr>
          <w:rFonts w:cs="Lohit Hindi"/>
          <w:b/>
          <w:bCs/>
          <w:sz w:val="24"/>
          <w:szCs w:val="24"/>
        </w:rPr>
        <w:t xml:space="preserve"> a glance</w:t>
      </w:r>
      <w:proofErr w:type="gramEnd"/>
    </w:p>
    <w:p w14:paraId="74459ED2" w14:textId="77777777" w:rsidR="00C37107" w:rsidRPr="00C37107" w:rsidRDefault="00C37107" w:rsidP="004F3BB8">
      <w:pPr>
        <w:spacing w:after="120" w:line="240" w:lineRule="auto"/>
        <w:jc w:val="center"/>
        <w:rPr>
          <w:rFonts w:cs="Lohit Hindi"/>
          <w:b/>
          <w:bCs/>
        </w:rPr>
      </w:pPr>
      <w:r w:rsidRPr="00561F2F">
        <w:rPr>
          <w:noProof/>
          <w:sz w:val="28"/>
          <w:szCs w:val="28"/>
        </w:rPr>
        <w:drawing>
          <wp:inline distT="0" distB="0" distL="0" distR="0" wp14:anchorId="7CCEEC2D" wp14:editId="4DC731FF">
            <wp:extent cx="4489450" cy="2222500"/>
            <wp:effectExtent l="0" t="0" r="6350" b="6350"/>
            <wp:docPr id="17"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B8F605D" w14:textId="77777777" w:rsidR="00CE510B" w:rsidRDefault="00CE510B" w:rsidP="004F3BB8">
      <w:pPr>
        <w:spacing w:after="120" w:line="240" w:lineRule="auto"/>
        <w:jc w:val="both"/>
        <w:rPr>
          <w:rFonts w:cs="Cambria"/>
          <w:b/>
          <w:bCs/>
          <w:sz w:val="24"/>
          <w:szCs w:val="24"/>
        </w:rPr>
      </w:pPr>
    </w:p>
    <w:p w14:paraId="21C05CBD" w14:textId="0C58303A" w:rsidR="002D316A" w:rsidRDefault="00C37107" w:rsidP="004F3BB8">
      <w:pPr>
        <w:spacing w:after="120" w:line="240" w:lineRule="auto"/>
        <w:jc w:val="both"/>
        <w:rPr>
          <w:sz w:val="24"/>
          <w:szCs w:val="24"/>
        </w:rPr>
      </w:pPr>
      <w:r w:rsidRPr="00561F2F">
        <w:rPr>
          <w:rFonts w:cs="Cambria"/>
          <w:b/>
          <w:bCs/>
          <w:sz w:val="24"/>
          <w:szCs w:val="24"/>
        </w:rPr>
        <w:t xml:space="preserve">The </w:t>
      </w:r>
      <w:r w:rsidR="00096170">
        <w:rPr>
          <w:rFonts w:cs="Cambria"/>
          <w:b/>
          <w:bCs/>
          <w:sz w:val="24"/>
          <w:szCs w:val="24"/>
        </w:rPr>
        <w:t>IADC</w:t>
      </w:r>
      <w:r w:rsidRPr="00561F2F">
        <w:rPr>
          <w:rFonts w:cs="Cambria"/>
          <w:b/>
          <w:bCs/>
          <w:sz w:val="24"/>
          <w:szCs w:val="24"/>
        </w:rPr>
        <w:t xml:space="preserve"> has scored positively </w:t>
      </w:r>
      <w:r w:rsidRPr="00453759">
        <w:rPr>
          <w:rFonts w:cs="Cambria"/>
          <w:b/>
          <w:bCs/>
          <w:sz w:val="24"/>
          <w:szCs w:val="24"/>
        </w:rPr>
        <w:t xml:space="preserve">on </w:t>
      </w:r>
      <w:r w:rsidR="007931B0">
        <w:rPr>
          <w:rFonts w:cs="Cambria"/>
          <w:b/>
          <w:bCs/>
          <w:sz w:val="24"/>
          <w:szCs w:val="24"/>
        </w:rPr>
        <w:t>1</w:t>
      </w:r>
      <w:r w:rsidR="00C27FAF">
        <w:rPr>
          <w:rFonts w:cs="Cambria"/>
          <w:b/>
          <w:bCs/>
          <w:sz w:val="24"/>
          <w:szCs w:val="24"/>
        </w:rPr>
        <w:t>4</w:t>
      </w:r>
      <w:r w:rsidR="00096170">
        <w:rPr>
          <w:rFonts w:cs="Cambria"/>
          <w:b/>
          <w:bCs/>
          <w:sz w:val="24"/>
          <w:szCs w:val="24"/>
        </w:rPr>
        <w:t xml:space="preserve"> </w:t>
      </w:r>
      <w:r w:rsidRPr="00453759">
        <w:rPr>
          <w:rFonts w:cs="Cambria"/>
          <w:b/>
          <w:bCs/>
          <w:sz w:val="24"/>
          <w:szCs w:val="24"/>
        </w:rPr>
        <w:t xml:space="preserve">of the </w:t>
      </w:r>
      <w:r w:rsidR="007931B0">
        <w:rPr>
          <w:rFonts w:cs="Cambria"/>
          <w:b/>
          <w:bCs/>
          <w:sz w:val="24"/>
          <w:szCs w:val="24"/>
        </w:rPr>
        <w:t>4</w:t>
      </w:r>
      <w:r w:rsidR="00C27FAF">
        <w:rPr>
          <w:rFonts w:cs="Cambria"/>
          <w:b/>
          <w:bCs/>
          <w:sz w:val="24"/>
          <w:szCs w:val="24"/>
        </w:rPr>
        <w:t>6</w:t>
      </w:r>
      <w:r w:rsidRPr="00453759">
        <w:rPr>
          <w:rFonts w:cs="Cambria"/>
          <w:b/>
          <w:bCs/>
          <w:sz w:val="24"/>
          <w:szCs w:val="24"/>
        </w:rPr>
        <w:t xml:space="preserve"> benchmarks </w:t>
      </w:r>
      <w:r w:rsidRPr="00453759">
        <w:rPr>
          <w:rFonts w:cs="Cambria"/>
          <w:b/>
          <w:bCs/>
          <w:color w:val="000000"/>
          <w:sz w:val="24"/>
          <w:szCs w:val="24"/>
          <w:u w:val="single"/>
        </w:rPr>
        <w:t>(</w:t>
      </w:r>
      <w:r w:rsidR="00062917">
        <w:rPr>
          <w:rFonts w:cs="Cambria"/>
          <w:b/>
          <w:bCs/>
          <w:color w:val="000000"/>
          <w:sz w:val="24"/>
          <w:szCs w:val="24"/>
          <w:u w:val="single"/>
        </w:rPr>
        <w:t>30.4</w:t>
      </w:r>
      <w:r w:rsidRPr="00453759">
        <w:rPr>
          <w:rFonts w:cs="Cambria"/>
          <w:b/>
          <w:bCs/>
          <w:color w:val="000000"/>
          <w:sz w:val="24"/>
          <w:szCs w:val="24"/>
          <w:u w:val="single"/>
        </w:rPr>
        <w:t>%)</w:t>
      </w:r>
      <w:r w:rsidRPr="00453759">
        <w:rPr>
          <w:rFonts w:cs="Cambria"/>
          <w:b/>
          <w:bCs/>
          <w:sz w:val="24"/>
          <w:szCs w:val="24"/>
        </w:rPr>
        <w:t xml:space="preserve"> that</w:t>
      </w:r>
      <w:r w:rsidRPr="00561F2F">
        <w:rPr>
          <w:rFonts w:cs="Cambria"/>
          <w:b/>
          <w:bCs/>
          <w:sz w:val="24"/>
          <w:szCs w:val="24"/>
        </w:rPr>
        <w:t xml:space="preserve"> were found applicable. </w:t>
      </w:r>
      <w:r w:rsidRPr="00561F2F">
        <w:rPr>
          <w:rFonts w:cs="Cambria"/>
          <w:sz w:val="24"/>
          <w:szCs w:val="24"/>
        </w:rPr>
        <w:t>The above score is</w:t>
      </w:r>
      <w:r w:rsidRPr="00561F2F">
        <w:rPr>
          <w:sz w:val="24"/>
          <w:szCs w:val="24"/>
        </w:rPr>
        <w:t xml:space="preserve"> intended only to give the </w:t>
      </w:r>
      <w:r w:rsidR="00096170">
        <w:rPr>
          <w:sz w:val="24"/>
          <w:szCs w:val="24"/>
        </w:rPr>
        <w:t>IADC</w:t>
      </w:r>
      <w:r w:rsidRPr="00561F2F">
        <w:rPr>
          <w:sz w:val="24"/>
          <w:szCs w:val="24"/>
        </w:rPr>
        <w:t xml:space="preserve"> a broad idea of where it stands as regards gender mainstreaming. </w:t>
      </w:r>
    </w:p>
    <w:p w14:paraId="2DEAE0E4" w14:textId="302F401B" w:rsidR="00C37107" w:rsidRPr="00561F2F" w:rsidRDefault="00C37107" w:rsidP="004F3BB8">
      <w:pPr>
        <w:spacing w:after="120" w:line="240" w:lineRule="auto"/>
        <w:jc w:val="both"/>
        <w:rPr>
          <w:rFonts w:cs="Cambria"/>
          <w:bCs/>
          <w:sz w:val="24"/>
          <w:szCs w:val="24"/>
        </w:rPr>
      </w:pPr>
      <w:r w:rsidRPr="00561F2F">
        <w:rPr>
          <w:sz w:val="24"/>
          <w:szCs w:val="24"/>
        </w:rPr>
        <w:t xml:space="preserve">The online self-assessment tool is a basic tool and the benchmarks have been selected because they can be verified through secondary data.  </w:t>
      </w:r>
      <w:r w:rsidRPr="00561F2F">
        <w:rPr>
          <w:rFonts w:cs="Cambria"/>
          <w:sz w:val="24"/>
          <w:szCs w:val="24"/>
        </w:rPr>
        <w:t xml:space="preserve">In addition, indicators and benchmarks do not accurately reflect country-level specificities such as the developmental stage of the country, or the nature of the political/social environment. </w:t>
      </w:r>
      <w:r w:rsidRPr="00561F2F">
        <w:rPr>
          <w:rFonts w:cs="Cambria"/>
          <w:b/>
          <w:bCs/>
          <w:sz w:val="24"/>
          <w:szCs w:val="24"/>
        </w:rPr>
        <w:t xml:space="preserve">Despite the above caveats, the Gender Seal Team believes the score achieved by the </w:t>
      </w:r>
      <w:r w:rsidR="00096170">
        <w:rPr>
          <w:rFonts w:cs="Cambria"/>
          <w:b/>
          <w:bCs/>
          <w:sz w:val="24"/>
          <w:szCs w:val="24"/>
        </w:rPr>
        <w:t>IADC</w:t>
      </w:r>
      <w:r w:rsidRPr="00561F2F">
        <w:rPr>
          <w:rFonts w:cs="Cambria"/>
          <w:b/>
          <w:bCs/>
          <w:sz w:val="24"/>
          <w:szCs w:val="24"/>
        </w:rPr>
        <w:t xml:space="preserve"> </w:t>
      </w:r>
      <w:r w:rsidR="00712BA0" w:rsidRPr="00561F2F">
        <w:rPr>
          <w:rFonts w:cs="Cambria"/>
          <w:b/>
          <w:bCs/>
          <w:sz w:val="24"/>
          <w:szCs w:val="24"/>
        </w:rPr>
        <w:t>reflects</w:t>
      </w:r>
      <w:r w:rsidRPr="00561F2F">
        <w:rPr>
          <w:rFonts w:cs="Cambria"/>
          <w:b/>
          <w:bCs/>
          <w:sz w:val="24"/>
          <w:szCs w:val="24"/>
        </w:rPr>
        <w:t xml:space="preserve"> its performance on gender mainstreaming, </w:t>
      </w:r>
      <w:r w:rsidRPr="00561F2F">
        <w:rPr>
          <w:rFonts w:cs="Cambria"/>
          <w:bCs/>
          <w:sz w:val="24"/>
          <w:szCs w:val="24"/>
        </w:rPr>
        <w:t>and it can be used as a starting point to improve its performance.</w:t>
      </w:r>
    </w:p>
    <w:p w14:paraId="0FED1004" w14:textId="77777777" w:rsidR="00CE510B" w:rsidRPr="00B2295A" w:rsidRDefault="00CE510B" w:rsidP="004F3BB8">
      <w:pPr>
        <w:spacing w:after="120" w:line="240" w:lineRule="auto"/>
        <w:jc w:val="both"/>
        <w:rPr>
          <w:rFonts w:cs="Lohit Hindi"/>
          <w:bCs/>
          <w:color w:val="2E74B5" w:themeColor="accent1" w:themeShade="BF"/>
          <w:sz w:val="24"/>
          <w:szCs w:val="24"/>
        </w:rPr>
      </w:pPr>
    </w:p>
    <w:p w14:paraId="148C35F5" w14:textId="38AB5FC6" w:rsidR="00CE510B" w:rsidRDefault="00CE510B" w:rsidP="004F3BB8">
      <w:pPr>
        <w:pStyle w:val="ListParagraph"/>
        <w:numPr>
          <w:ilvl w:val="0"/>
          <w:numId w:val="7"/>
        </w:numPr>
        <w:spacing w:after="120" w:line="240" w:lineRule="auto"/>
        <w:ind w:left="360"/>
        <w:jc w:val="both"/>
        <w:rPr>
          <w:rFonts w:cs="Lohit Hindi"/>
          <w:bCs/>
          <w:color w:val="2E74B5" w:themeColor="accent1" w:themeShade="BF"/>
          <w:sz w:val="28"/>
          <w:szCs w:val="28"/>
        </w:rPr>
      </w:pPr>
      <w:r w:rsidRPr="00CE510B">
        <w:rPr>
          <w:rFonts w:cs="Lohit Hindi"/>
          <w:bCs/>
          <w:color w:val="2E74B5" w:themeColor="accent1" w:themeShade="BF"/>
          <w:sz w:val="28"/>
          <w:szCs w:val="28"/>
        </w:rPr>
        <w:t>Summary of findings</w:t>
      </w:r>
      <w:r>
        <w:rPr>
          <w:rFonts w:cs="Lohit Hindi"/>
          <w:bCs/>
          <w:color w:val="2E74B5" w:themeColor="accent1" w:themeShade="BF"/>
          <w:sz w:val="28"/>
          <w:szCs w:val="28"/>
        </w:rPr>
        <w:t>.</w:t>
      </w:r>
    </w:p>
    <w:p w14:paraId="2114F7AE" w14:textId="69E64366" w:rsidR="003078B4" w:rsidRPr="003078B4" w:rsidRDefault="003078B4" w:rsidP="004F3BB8">
      <w:pPr>
        <w:spacing w:after="120" w:line="240" w:lineRule="auto"/>
        <w:jc w:val="both"/>
        <w:rPr>
          <w:rFonts w:cs="Lohit Hindi"/>
          <w:bCs/>
          <w:color w:val="2E74B5" w:themeColor="accent1" w:themeShade="BF"/>
          <w:sz w:val="24"/>
          <w:szCs w:val="24"/>
        </w:rPr>
      </w:pPr>
      <w:r w:rsidRPr="003078B4">
        <w:rPr>
          <w:rFonts w:cs="Lohit Hindi"/>
          <w:bCs/>
          <w:color w:val="2E74B5" w:themeColor="accent1" w:themeShade="BF"/>
          <w:sz w:val="24"/>
          <w:szCs w:val="24"/>
        </w:rPr>
        <w:t>Management systems</w:t>
      </w:r>
    </w:p>
    <w:p w14:paraId="28628651" w14:textId="61D639C4" w:rsidR="002D316A" w:rsidRPr="002D316A" w:rsidRDefault="003078B4" w:rsidP="004F3BB8">
      <w:pPr>
        <w:pBdr>
          <w:top w:val="single" w:sz="4" w:space="1" w:color="auto"/>
          <w:left w:val="single" w:sz="4" w:space="4" w:color="auto"/>
          <w:bottom w:val="single" w:sz="4" w:space="1" w:color="auto"/>
          <w:right w:val="single" w:sz="4" w:space="4" w:color="auto"/>
        </w:pBdr>
        <w:spacing w:after="120" w:line="240" w:lineRule="auto"/>
        <w:jc w:val="both"/>
        <w:rPr>
          <w:rFonts w:cs="Lohit Hindi"/>
          <w:bCs/>
          <w:sz w:val="24"/>
          <w:szCs w:val="24"/>
        </w:rPr>
      </w:pPr>
      <w:r w:rsidRPr="003078B4">
        <w:rPr>
          <w:rFonts w:cs="Lohit Hindi"/>
          <w:bCs/>
          <w:sz w:val="24"/>
          <w:szCs w:val="24"/>
        </w:rPr>
        <w:t xml:space="preserve">The IADC has </w:t>
      </w:r>
      <w:r w:rsidR="002D316A">
        <w:rPr>
          <w:rFonts w:cs="Lohit Hindi"/>
          <w:bCs/>
          <w:sz w:val="24"/>
          <w:szCs w:val="24"/>
        </w:rPr>
        <w:t>shown progress</w:t>
      </w:r>
      <w:r w:rsidRPr="003078B4">
        <w:rPr>
          <w:rFonts w:cs="Lohit Hindi"/>
          <w:bCs/>
          <w:sz w:val="24"/>
          <w:szCs w:val="24"/>
        </w:rPr>
        <w:t xml:space="preserve"> in this dimension, with </w:t>
      </w:r>
      <w:r w:rsidR="002D316A">
        <w:rPr>
          <w:rFonts w:cs="Lohit Hindi"/>
          <w:bCs/>
          <w:sz w:val="24"/>
          <w:szCs w:val="24"/>
        </w:rPr>
        <w:t>25</w:t>
      </w:r>
      <w:r w:rsidRPr="003078B4">
        <w:rPr>
          <w:rFonts w:cs="Lohit Hindi"/>
          <w:bCs/>
          <w:sz w:val="24"/>
          <w:szCs w:val="24"/>
        </w:rPr>
        <w:t xml:space="preserve"> per cent of benchmarks complied with (</w:t>
      </w:r>
      <w:r w:rsidR="002D316A">
        <w:rPr>
          <w:rFonts w:cs="Lohit Hindi"/>
          <w:bCs/>
          <w:sz w:val="24"/>
          <w:szCs w:val="24"/>
        </w:rPr>
        <w:t>1</w:t>
      </w:r>
      <w:r w:rsidRPr="003078B4">
        <w:rPr>
          <w:rFonts w:cs="Lohit Hindi"/>
          <w:bCs/>
          <w:sz w:val="24"/>
          <w:szCs w:val="24"/>
        </w:rPr>
        <w:t xml:space="preserve"> out of </w:t>
      </w:r>
      <w:r w:rsidR="002D316A">
        <w:rPr>
          <w:rFonts w:cs="Lohit Hindi"/>
          <w:bCs/>
          <w:sz w:val="24"/>
          <w:szCs w:val="24"/>
        </w:rPr>
        <w:t>4</w:t>
      </w:r>
      <w:r w:rsidRPr="003078B4">
        <w:rPr>
          <w:rFonts w:cs="Lohit Hindi"/>
          <w:bCs/>
          <w:sz w:val="24"/>
          <w:szCs w:val="24"/>
        </w:rPr>
        <w:t xml:space="preserve">). </w:t>
      </w:r>
      <w:r w:rsidRPr="002D316A">
        <w:rPr>
          <w:rFonts w:cs="Lohit Hindi"/>
          <w:bCs/>
          <w:sz w:val="24"/>
          <w:szCs w:val="24"/>
        </w:rPr>
        <w:t>The main achievement</w:t>
      </w:r>
      <w:r w:rsidR="002D316A" w:rsidRPr="002D316A">
        <w:rPr>
          <w:rFonts w:cs="Lohit Hindi"/>
          <w:bCs/>
          <w:sz w:val="24"/>
          <w:szCs w:val="24"/>
        </w:rPr>
        <w:t xml:space="preserve">s are related to the percentage of bilateral ODA that contributes to gender equality goals (85%) and the main gaps to the Gender Equality Strategy and the </w:t>
      </w:r>
      <w:r w:rsidR="00CD2989">
        <w:rPr>
          <w:rFonts w:cs="Lohit Hindi"/>
          <w:bCs/>
          <w:sz w:val="24"/>
          <w:szCs w:val="24"/>
        </w:rPr>
        <w:t>G</w:t>
      </w:r>
      <w:r w:rsidR="002D316A" w:rsidRPr="002D316A">
        <w:rPr>
          <w:rFonts w:cs="Lohit Hindi"/>
          <w:bCs/>
          <w:sz w:val="24"/>
          <w:szCs w:val="24"/>
        </w:rPr>
        <w:t xml:space="preserve">ender </w:t>
      </w:r>
      <w:r w:rsidR="00CD2989">
        <w:rPr>
          <w:rFonts w:cs="Lohit Hindi"/>
          <w:bCs/>
          <w:sz w:val="24"/>
          <w:szCs w:val="24"/>
        </w:rPr>
        <w:t>A</w:t>
      </w:r>
      <w:r w:rsidR="002D316A" w:rsidRPr="002D316A">
        <w:rPr>
          <w:rFonts w:cs="Lohit Hindi"/>
          <w:bCs/>
          <w:sz w:val="24"/>
          <w:szCs w:val="24"/>
        </w:rPr>
        <w:t>rchitecture (Gender Focal Team and Gender Focal Points).</w:t>
      </w:r>
    </w:p>
    <w:p w14:paraId="1C6ECB0C" w14:textId="77777777" w:rsidR="00717322" w:rsidRDefault="00717322" w:rsidP="00717322">
      <w:pPr>
        <w:pStyle w:val="ListParagraph"/>
        <w:numPr>
          <w:ilvl w:val="0"/>
          <w:numId w:val="11"/>
        </w:numPr>
        <w:spacing w:after="120" w:line="240" w:lineRule="auto"/>
        <w:ind w:left="360"/>
        <w:jc w:val="both"/>
        <w:rPr>
          <w:rFonts w:cs="Lohit Hindi"/>
          <w:bCs/>
          <w:color w:val="auto"/>
        </w:rPr>
      </w:pPr>
      <w:r w:rsidRPr="00CD2989">
        <w:rPr>
          <w:rFonts w:cs="Lohit Hindi"/>
          <w:bCs/>
          <w:color w:val="auto"/>
        </w:rPr>
        <w:lastRenderedPageBreak/>
        <w:t xml:space="preserve">The percentage of ODA significantly contributing to gender equality is impressive (85%) and well above other donors (DAC member average is 35%).  </w:t>
      </w:r>
    </w:p>
    <w:p w14:paraId="23D7E163" w14:textId="515FB8CE" w:rsidR="002D316A" w:rsidRDefault="00CD2989" w:rsidP="004F3BB8">
      <w:pPr>
        <w:pStyle w:val="ListParagraph"/>
        <w:numPr>
          <w:ilvl w:val="0"/>
          <w:numId w:val="11"/>
        </w:numPr>
        <w:spacing w:after="120" w:line="240" w:lineRule="auto"/>
        <w:ind w:left="360"/>
        <w:jc w:val="both"/>
        <w:rPr>
          <w:rFonts w:cs="Lohit Hindi"/>
          <w:bCs/>
          <w:color w:val="auto"/>
        </w:rPr>
      </w:pPr>
      <w:r>
        <w:rPr>
          <w:rFonts w:cs="Lohit Hindi"/>
          <w:bCs/>
          <w:color w:val="auto"/>
        </w:rPr>
        <w:t>The IADC has developed a draft Gender Equality Strategy that addresses both programmatic and institutional concerns.  Once this Strategy is formally approved, the organization will be able to move forward with the alignment/finalizing o</w:t>
      </w:r>
      <w:r w:rsidR="00717322">
        <w:rPr>
          <w:rFonts w:cs="Lohit Hindi"/>
          <w:bCs/>
          <w:color w:val="auto"/>
        </w:rPr>
        <w:t xml:space="preserve">f several </w:t>
      </w:r>
      <w:r>
        <w:rPr>
          <w:rFonts w:cs="Lohit Hindi"/>
          <w:bCs/>
          <w:color w:val="auto"/>
        </w:rPr>
        <w:t xml:space="preserve">strategic documents (E.g.: Action Plans for missions, and </w:t>
      </w:r>
      <w:proofErr w:type="spellStart"/>
      <w:r>
        <w:rPr>
          <w:rFonts w:cs="Lohit Hindi"/>
          <w:bCs/>
          <w:color w:val="auto"/>
        </w:rPr>
        <w:t>Programme</w:t>
      </w:r>
      <w:proofErr w:type="spellEnd"/>
      <w:r>
        <w:rPr>
          <w:rFonts w:cs="Lohit Hindi"/>
          <w:bCs/>
          <w:color w:val="auto"/>
        </w:rPr>
        <w:t xml:space="preserve"> Strategies at headquarters and mission/field office level).</w:t>
      </w:r>
    </w:p>
    <w:p w14:paraId="7B96E3D9" w14:textId="45152A69" w:rsidR="00CD2989" w:rsidRPr="00CD2989" w:rsidRDefault="00CD2989" w:rsidP="004F3BB8">
      <w:pPr>
        <w:pStyle w:val="ListParagraph"/>
        <w:numPr>
          <w:ilvl w:val="0"/>
          <w:numId w:val="11"/>
        </w:numPr>
        <w:spacing w:after="120" w:line="240" w:lineRule="auto"/>
        <w:ind w:left="360"/>
        <w:jc w:val="both"/>
        <w:rPr>
          <w:rFonts w:cs="Lohit Hindi"/>
          <w:bCs/>
          <w:color w:val="auto"/>
        </w:rPr>
      </w:pPr>
      <w:r>
        <w:rPr>
          <w:rFonts w:cs="Lohit Hindi"/>
          <w:bCs/>
          <w:color w:val="auto"/>
        </w:rPr>
        <w:t xml:space="preserve">The IADC does not have a Gender Focal Team or Gender Focal Point System in place yet.  The COVID-19 crisis has delayed the achievement of these benchmarks.  Once the respective offices are fully operational again, the organization should be able to move </w:t>
      </w:r>
      <w:r w:rsidR="005E515F">
        <w:rPr>
          <w:rFonts w:cs="Lohit Hindi"/>
          <w:bCs/>
          <w:color w:val="auto"/>
        </w:rPr>
        <w:t>quickly move forward to address this</w:t>
      </w:r>
      <w:r>
        <w:rPr>
          <w:rFonts w:cs="Lohit Hindi"/>
          <w:bCs/>
          <w:color w:val="auto"/>
        </w:rPr>
        <w:t>.</w:t>
      </w:r>
    </w:p>
    <w:p w14:paraId="70A80C84" w14:textId="77777777" w:rsidR="004F3BB8" w:rsidRDefault="004F3BB8" w:rsidP="004F3BB8">
      <w:pPr>
        <w:spacing w:after="120" w:line="240" w:lineRule="auto"/>
        <w:jc w:val="both"/>
        <w:rPr>
          <w:rFonts w:cs="Lohit Hindi"/>
          <w:bCs/>
          <w:color w:val="2E74B5" w:themeColor="accent1" w:themeShade="BF"/>
          <w:sz w:val="24"/>
          <w:szCs w:val="24"/>
        </w:rPr>
      </w:pPr>
    </w:p>
    <w:p w14:paraId="4CA34EFD" w14:textId="156F7A00" w:rsidR="0042058B" w:rsidRPr="0042058B" w:rsidRDefault="0042058B" w:rsidP="004F3BB8">
      <w:pPr>
        <w:spacing w:after="120" w:line="240" w:lineRule="auto"/>
        <w:jc w:val="both"/>
        <w:rPr>
          <w:rFonts w:cs="Lohit Hindi"/>
          <w:bCs/>
          <w:color w:val="2E74B5" w:themeColor="accent1" w:themeShade="BF"/>
          <w:sz w:val="24"/>
          <w:szCs w:val="24"/>
        </w:rPr>
      </w:pPr>
      <w:r w:rsidRPr="0042058B">
        <w:rPr>
          <w:rFonts w:cs="Lohit Hindi"/>
          <w:bCs/>
          <w:color w:val="2E74B5" w:themeColor="accent1" w:themeShade="BF"/>
          <w:sz w:val="24"/>
          <w:szCs w:val="24"/>
        </w:rPr>
        <w:t>Capacities</w:t>
      </w:r>
    </w:p>
    <w:p w14:paraId="179AF812" w14:textId="2B0DF837" w:rsidR="0042058B" w:rsidRPr="00F86353" w:rsidRDefault="0042058B" w:rsidP="004F3BB8">
      <w:pPr>
        <w:pBdr>
          <w:top w:val="single" w:sz="4" w:space="1" w:color="auto"/>
          <w:left w:val="single" w:sz="4" w:space="4" w:color="auto"/>
          <w:bottom w:val="single" w:sz="4" w:space="1" w:color="auto"/>
          <w:right w:val="single" w:sz="4" w:space="4" w:color="auto"/>
        </w:pBdr>
        <w:spacing w:after="120" w:line="240" w:lineRule="auto"/>
        <w:jc w:val="both"/>
        <w:rPr>
          <w:rFonts w:cs="Lohit Hindi"/>
          <w:bCs/>
          <w:sz w:val="24"/>
          <w:szCs w:val="24"/>
        </w:rPr>
      </w:pPr>
      <w:r w:rsidRPr="00F86353">
        <w:rPr>
          <w:rFonts w:cs="Lohit Hindi"/>
          <w:bCs/>
          <w:sz w:val="24"/>
          <w:szCs w:val="24"/>
        </w:rPr>
        <w:t xml:space="preserve">The </w:t>
      </w:r>
      <w:r w:rsidR="00F86353">
        <w:rPr>
          <w:rFonts w:cs="Lohit Hindi"/>
          <w:bCs/>
          <w:sz w:val="24"/>
          <w:szCs w:val="24"/>
        </w:rPr>
        <w:t>IAD</w:t>
      </w:r>
      <w:r w:rsidR="00D94F0F">
        <w:rPr>
          <w:rFonts w:cs="Lohit Hindi"/>
          <w:bCs/>
          <w:sz w:val="24"/>
          <w:szCs w:val="24"/>
        </w:rPr>
        <w:t>C</w:t>
      </w:r>
      <w:r w:rsidR="00F86353">
        <w:rPr>
          <w:rFonts w:cs="Lohit Hindi"/>
          <w:bCs/>
          <w:sz w:val="24"/>
          <w:szCs w:val="24"/>
        </w:rPr>
        <w:t xml:space="preserve"> has </w:t>
      </w:r>
      <w:r w:rsidR="000F3460">
        <w:rPr>
          <w:rFonts w:cs="Lohit Hindi"/>
          <w:bCs/>
          <w:sz w:val="24"/>
          <w:szCs w:val="24"/>
        </w:rPr>
        <w:t>obtained one of the lowest scorings</w:t>
      </w:r>
      <w:r w:rsidRPr="00F86353">
        <w:rPr>
          <w:rFonts w:cs="Lohit Hindi"/>
          <w:bCs/>
          <w:sz w:val="24"/>
          <w:szCs w:val="24"/>
        </w:rPr>
        <w:t xml:space="preserve"> in this dimension</w:t>
      </w:r>
      <w:r w:rsidR="00E56A39">
        <w:rPr>
          <w:rFonts w:cs="Lohit Hindi"/>
          <w:bCs/>
          <w:sz w:val="24"/>
          <w:szCs w:val="24"/>
        </w:rPr>
        <w:t xml:space="preserve"> (0 out of </w:t>
      </w:r>
      <w:r w:rsidR="00251686">
        <w:rPr>
          <w:rFonts w:cs="Lohit Hindi"/>
          <w:bCs/>
          <w:sz w:val="24"/>
          <w:szCs w:val="24"/>
        </w:rPr>
        <w:t>6</w:t>
      </w:r>
      <w:r w:rsidR="00E56A39">
        <w:rPr>
          <w:rFonts w:cs="Lohit Hindi"/>
          <w:bCs/>
          <w:sz w:val="24"/>
          <w:szCs w:val="24"/>
        </w:rPr>
        <w:t xml:space="preserve"> benchmarks)</w:t>
      </w:r>
      <w:r w:rsidR="000F3460">
        <w:rPr>
          <w:rFonts w:cs="Lohit Hindi"/>
          <w:bCs/>
          <w:sz w:val="24"/>
          <w:szCs w:val="24"/>
        </w:rPr>
        <w:t xml:space="preserve">.  The main gaps/challenges are related to </w:t>
      </w:r>
      <w:r w:rsidR="00F86353">
        <w:rPr>
          <w:rFonts w:cs="Lohit Hindi"/>
          <w:bCs/>
          <w:sz w:val="24"/>
          <w:szCs w:val="24"/>
        </w:rPr>
        <w:t xml:space="preserve">capacity assessment and </w:t>
      </w:r>
      <w:r w:rsidR="005E515F">
        <w:rPr>
          <w:rFonts w:cs="Lohit Hindi"/>
          <w:bCs/>
          <w:sz w:val="24"/>
          <w:szCs w:val="24"/>
        </w:rPr>
        <w:t xml:space="preserve">capacity </w:t>
      </w:r>
      <w:r w:rsidR="00F86353">
        <w:rPr>
          <w:rFonts w:cs="Lohit Hindi"/>
          <w:bCs/>
          <w:sz w:val="24"/>
          <w:szCs w:val="24"/>
        </w:rPr>
        <w:t>building of staff</w:t>
      </w:r>
      <w:r w:rsidR="008E0E95">
        <w:rPr>
          <w:rFonts w:cs="Lohit Hindi"/>
          <w:bCs/>
          <w:sz w:val="24"/>
          <w:szCs w:val="24"/>
        </w:rPr>
        <w:t xml:space="preserve"> </w:t>
      </w:r>
      <w:r w:rsidR="00F86353">
        <w:rPr>
          <w:rFonts w:cs="Lohit Hindi"/>
          <w:bCs/>
          <w:sz w:val="24"/>
          <w:szCs w:val="24"/>
        </w:rPr>
        <w:t xml:space="preserve">and </w:t>
      </w:r>
      <w:r w:rsidR="008E0E95">
        <w:rPr>
          <w:rFonts w:cs="Lohit Hindi"/>
          <w:bCs/>
          <w:sz w:val="24"/>
          <w:szCs w:val="24"/>
        </w:rPr>
        <w:t xml:space="preserve">the </w:t>
      </w:r>
      <w:r w:rsidR="00E56A39">
        <w:rPr>
          <w:rFonts w:cs="Lohit Hindi"/>
          <w:bCs/>
          <w:sz w:val="24"/>
          <w:szCs w:val="24"/>
        </w:rPr>
        <w:t xml:space="preserve">consolidation of the </w:t>
      </w:r>
      <w:r w:rsidR="00F86353">
        <w:rPr>
          <w:rFonts w:cs="Lohit Hindi"/>
          <w:bCs/>
          <w:sz w:val="24"/>
          <w:szCs w:val="24"/>
        </w:rPr>
        <w:t xml:space="preserve">Gender Architecture.  </w:t>
      </w:r>
      <w:r w:rsidR="00450500">
        <w:rPr>
          <w:rFonts w:cs="Lohit Hindi"/>
          <w:bCs/>
          <w:sz w:val="24"/>
          <w:szCs w:val="24"/>
        </w:rPr>
        <w:t xml:space="preserve">This should be addressed </w:t>
      </w:r>
      <w:r w:rsidR="00717322">
        <w:rPr>
          <w:rFonts w:cs="Lohit Hindi"/>
          <w:bCs/>
          <w:sz w:val="24"/>
          <w:szCs w:val="24"/>
        </w:rPr>
        <w:t xml:space="preserve">as soon as possible </w:t>
      </w:r>
      <w:r w:rsidR="00450500">
        <w:rPr>
          <w:rFonts w:cs="Lohit Hindi"/>
          <w:bCs/>
          <w:sz w:val="24"/>
          <w:szCs w:val="24"/>
        </w:rPr>
        <w:t xml:space="preserve">to avoid over dependence of </w:t>
      </w:r>
      <w:r w:rsidR="00E56A39">
        <w:rPr>
          <w:rFonts w:cs="Lohit Hindi"/>
          <w:bCs/>
          <w:sz w:val="24"/>
          <w:szCs w:val="24"/>
        </w:rPr>
        <w:t>partners and</w:t>
      </w:r>
      <w:r w:rsidR="00450500">
        <w:rPr>
          <w:rFonts w:cs="Lohit Hindi"/>
          <w:bCs/>
          <w:sz w:val="24"/>
          <w:szCs w:val="24"/>
        </w:rPr>
        <w:t xml:space="preserve"> enable each team </w:t>
      </w:r>
      <w:r w:rsidR="005E515F">
        <w:rPr>
          <w:rFonts w:cs="Lohit Hindi"/>
          <w:bCs/>
          <w:sz w:val="24"/>
          <w:szCs w:val="24"/>
        </w:rPr>
        <w:t xml:space="preserve">(HQ and field office level) </w:t>
      </w:r>
      <w:r w:rsidR="00450500">
        <w:rPr>
          <w:rFonts w:cs="Lohit Hindi"/>
          <w:bCs/>
          <w:sz w:val="24"/>
          <w:szCs w:val="24"/>
        </w:rPr>
        <w:t xml:space="preserve">to use its own expertise to tap on the gender transformative </w:t>
      </w:r>
      <w:r w:rsidRPr="00F86353">
        <w:rPr>
          <w:rFonts w:cs="Lohit Hindi"/>
          <w:bCs/>
          <w:sz w:val="24"/>
          <w:szCs w:val="24"/>
        </w:rPr>
        <w:t xml:space="preserve">potential of the </w:t>
      </w:r>
      <w:r w:rsidR="00450500">
        <w:rPr>
          <w:rFonts w:cs="Lohit Hindi"/>
          <w:bCs/>
          <w:sz w:val="24"/>
          <w:szCs w:val="24"/>
        </w:rPr>
        <w:t xml:space="preserve">different </w:t>
      </w:r>
      <w:proofErr w:type="spellStart"/>
      <w:r w:rsidR="00450500">
        <w:rPr>
          <w:rFonts w:cs="Lohit Hindi"/>
          <w:bCs/>
          <w:sz w:val="24"/>
          <w:szCs w:val="24"/>
        </w:rPr>
        <w:t>programmes</w:t>
      </w:r>
      <w:proofErr w:type="spellEnd"/>
      <w:r w:rsidR="00450500">
        <w:rPr>
          <w:rFonts w:cs="Lohit Hindi"/>
          <w:bCs/>
          <w:sz w:val="24"/>
          <w:szCs w:val="24"/>
        </w:rPr>
        <w:t>/initiatives</w:t>
      </w:r>
      <w:r w:rsidR="00717322">
        <w:rPr>
          <w:rFonts w:cs="Lohit Hindi"/>
          <w:bCs/>
          <w:sz w:val="24"/>
          <w:szCs w:val="24"/>
        </w:rPr>
        <w:t xml:space="preserve"> and ensure sustainability of results</w:t>
      </w:r>
      <w:r w:rsidR="00450500">
        <w:rPr>
          <w:rFonts w:cs="Lohit Hindi"/>
          <w:bCs/>
          <w:sz w:val="24"/>
          <w:szCs w:val="24"/>
        </w:rPr>
        <w:t>.</w:t>
      </w:r>
    </w:p>
    <w:p w14:paraId="2450E680" w14:textId="4207B943" w:rsidR="00CD2989" w:rsidRDefault="00450500" w:rsidP="004F3BB8">
      <w:pPr>
        <w:pStyle w:val="ListParagraph"/>
        <w:numPr>
          <w:ilvl w:val="0"/>
          <w:numId w:val="12"/>
        </w:numPr>
        <w:spacing w:after="120" w:line="240" w:lineRule="auto"/>
        <w:ind w:left="360"/>
        <w:jc w:val="both"/>
        <w:rPr>
          <w:rFonts w:cs="Lohit Hindi"/>
          <w:bCs/>
          <w:color w:val="auto"/>
        </w:rPr>
      </w:pPr>
      <w:r>
        <w:rPr>
          <w:rFonts w:cs="Lohit Hindi"/>
          <w:bCs/>
          <w:color w:val="auto"/>
        </w:rPr>
        <w:t xml:space="preserve">The IADC still needs to </w:t>
      </w:r>
      <w:r w:rsidR="00717322">
        <w:rPr>
          <w:rFonts w:cs="Lohit Hindi"/>
          <w:bCs/>
          <w:color w:val="auto"/>
        </w:rPr>
        <w:t>fully</w:t>
      </w:r>
      <w:r>
        <w:rPr>
          <w:rFonts w:cs="Lohit Hindi"/>
          <w:bCs/>
          <w:color w:val="auto"/>
        </w:rPr>
        <w:t xml:space="preserve"> assess </w:t>
      </w:r>
      <w:r w:rsidR="00717322">
        <w:rPr>
          <w:rFonts w:cs="Lohit Hindi"/>
          <w:bCs/>
          <w:color w:val="auto"/>
        </w:rPr>
        <w:t xml:space="preserve">gender </w:t>
      </w:r>
      <w:r>
        <w:rPr>
          <w:rFonts w:cs="Lohit Hindi"/>
          <w:bCs/>
          <w:color w:val="auto"/>
        </w:rPr>
        <w:t>capacities of staff (both at HQ and field office level) and design a capacity-building strategy according to the needs and interests identified and the new context (COVID-19)</w:t>
      </w:r>
      <w:r w:rsidR="005E515F">
        <w:rPr>
          <w:rFonts w:cs="Lohit Hindi"/>
          <w:bCs/>
          <w:color w:val="auto"/>
        </w:rPr>
        <w:t xml:space="preserve"> in which it will probably be implemented</w:t>
      </w:r>
      <w:r w:rsidR="00717322">
        <w:rPr>
          <w:rFonts w:cs="Lohit Hindi"/>
          <w:bCs/>
          <w:color w:val="auto"/>
        </w:rPr>
        <w:t xml:space="preserve"> (E.g.: recruitment, induction, training, etc.)</w:t>
      </w:r>
      <w:r>
        <w:rPr>
          <w:rFonts w:cs="Lohit Hindi"/>
          <w:bCs/>
          <w:color w:val="auto"/>
        </w:rPr>
        <w:t xml:space="preserve">.  </w:t>
      </w:r>
    </w:p>
    <w:p w14:paraId="4D8F2CB8" w14:textId="06CBACBF" w:rsidR="00450500" w:rsidRPr="00450500" w:rsidRDefault="00450500" w:rsidP="004F3BB8">
      <w:pPr>
        <w:pStyle w:val="ListParagraph"/>
        <w:numPr>
          <w:ilvl w:val="0"/>
          <w:numId w:val="12"/>
        </w:numPr>
        <w:spacing w:after="120" w:line="240" w:lineRule="auto"/>
        <w:ind w:left="360"/>
        <w:jc w:val="both"/>
        <w:rPr>
          <w:rFonts w:cs="Lohit Hindi"/>
          <w:bCs/>
          <w:color w:val="auto"/>
        </w:rPr>
      </w:pPr>
      <w:r>
        <w:rPr>
          <w:rFonts w:cs="Lohit Hindi"/>
          <w:bCs/>
          <w:color w:val="auto"/>
        </w:rPr>
        <w:t xml:space="preserve">The IACD does not currently have a full-time Gender Specialist.  It should determine the viability of having one vs setting up a complimentary gender focal point system to support </w:t>
      </w:r>
      <w:r w:rsidR="000F3460">
        <w:rPr>
          <w:rFonts w:cs="Lohit Hindi"/>
          <w:bCs/>
          <w:color w:val="auto"/>
        </w:rPr>
        <w:t>the current</w:t>
      </w:r>
      <w:r>
        <w:rPr>
          <w:rFonts w:cs="Lohit Hindi"/>
          <w:bCs/>
          <w:color w:val="auto"/>
        </w:rPr>
        <w:t xml:space="preserve"> part-time specialist.  This issue </w:t>
      </w:r>
      <w:r w:rsidR="000F3460">
        <w:rPr>
          <w:rFonts w:cs="Lohit Hindi"/>
          <w:bCs/>
          <w:color w:val="auto"/>
        </w:rPr>
        <w:t>should</w:t>
      </w:r>
      <w:r>
        <w:rPr>
          <w:rFonts w:cs="Lohit Hindi"/>
          <w:bCs/>
          <w:color w:val="auto"/>
        </w:rPr>
        <w:t xml:space="preserve"> be addressed </w:t>
      </w:r>
      <w:r w:rsidR="000A6C7A">
        <w:rPr>
          <w:rFonts w:cs="Lohit Hindi"/>
          <w:bCs/>
          <w:color w:val="auto"/>
        </w:rPr>
        <w:t xml:space="preserve">as soon as possible </w:t>
      </w:r>
      <w:r>
        <w:rPr>
          <w:rFonts w:cs="Lohit Hindi"/>
          <w:bCs/>
          <w:color w:val="auto"/>
        </w:rPr>
        <w:t>once the offices are fully operational again</w:t>
      </w:r>
      <w:r w:rsidR="000A6C7A">
        <w:rPr>
          <w:rFonts w:cs="Lohit Hindi"/>
          <w:bCs/>
          <w:color w:val="auto"/>
        </w:rPr>
        <w:t>, for it will be key to successfully implement the next phases of the certification process and to sustain the results once the process ends</w:t>
      </w:r>
      <w:r>
        <w:rPr>
          <w:rFonts w:cs="Lohit Hindi"/>
          <w:bCs/>
          <w:color w:val="auto"/>
        </w:rPr>
        <w:t>.</w:t>
      </w:r>
    </w:p>
    <w:p w14:paraId="4BACCD63" w14:textId="77777777" w:rsidR="004F3BB8" w:rsidRDefault="004F3BB8" w:rsidP="004F3BB8">
      <w:pPr>
        <w:spacing w:after="120" w:line="240" w:lineRule="auto"/>
        <w:jc w:val="both"/>
        <w:rPr>
          <w:rFonts w:cs="Lohit Hindi"/>
          <w:bCs/>
          <w:color w:val="2E74B5" w:themeColor="accent1" w:themeShade="BF"/>
          <w:sz w:val="24"/>
          <w:szCs w:val="24"/>
        </w:rPr>
      </w:pPr>
    </w:p>
    <w:p w14:paraId="44773360" w14:textId="79F51ED5" w:rsidR="008E0E95" w:rsidRPr="008E0E95" w:rsidRDefault="008E0E95" w:rsidP="004F3BB8">
      <w:pPr>
        <w:spacing w:after="120" w:line="240" w:lineRule="auto"/>
        <w:jc w:val="both"/>
        <w:rPr>
          <w:rFonts w:cs="Lohit Hindi"/>
          <w:bCs/>
          <w:color w:val="2E74B5" w:themeColor="accent1" w:themeShade="BF"/>
          <w:sz w:val="24"/>
          <w:szCs w:val="24"/>
        </w:rPr>
      </w:pPr>
      <w:r w:rsidRPr="008E0E95">
        <w:rPr>
          <w:rFonts w:cs="Lohit Hindi"/>
          <w:bCs/>
          <w:color w:val="2E74B5" w:themeColor="accent1" w:themeShade="BF"/>
          <w:sz w:val="24"/>
          <w:szCs w:val="24"/>
        </w:rPr>
        <w:t>Enabling environment</w:t>
      </w:r>
    </w:p>
    <w:p w14:paraId="68546268" w14:textId="43EF2E7B" w:rsidR="00E56A39" w:rsidRDefault="008E0E95" w:rsidP="004F3BB8">
      <w:pPr>
        <w:pBdr>
          <w:top w:val="single" w:sz="4" w:space="1" w:color="auto"/>
          <w:left w:val="single" w:sz="4" w:space="4" w:color="auto"/>
          <w:bottom w:val="single" w:sz="4" w:space="1" w:color="auto"/>
          <w:right w:val="single" w:sz="4" w:space="4" w:color="auto"/>
        </w:pBdr>
        <w:spacing w:after="120" w:line="240" w:lineRule="auto"/>
        <w:jc w:val="both"/>
        <w:rPr>
          <w:rFonts w:cs="Lohit Hindi"/>
          <w:bCs/>
          <w:sz w:val="24"/>
          <w:szCs w:val="24"/>
        </w:rPr>
      </w:pPr>
      <w:r w:rsidRPr="008E0E95">
        <w:rPr>
          <w:rFonts w:cs="Lohit Hindi"/>
          <w:bCs/>
          <w:sz w:val="24"/>
          <w:szCs w:val="24"/>
        </w:rPr>
        <w:t xml:space="preserve">The </w:t>
      </w:r>
      <w:r w:rsidR="000F3460">
        <w:rPr>
          <w:rFonts w:cs="Lohit Hindi"/>
          <w:bCs/>
          <w:sz w:val="24"/>
          <w:szCs w:val="24"/>
        </w:rPr>
        <w:t>IA</w:t>
      </w:r>
      <w:r w:rsidR="00D94F0F">
        <w:rPr>
          <w:rFonts w:cs="Lohit Hindi"/>
          <w:bCs/>
          <w:sz w:val="24"/>
          <w:szCs w:val="24"/>
        </w:rPr>
        <w:t>DC</w:t>
      </w:r>
      <w:r w:rsidR="000F3460">
        <w:rPr>
          <w:rFonts w:cs="Lohit Hindi"/>
          <w:bCs/>
          <w:sz w:val="24"/>
          <w:szCs w:val="24"/>
        </w:rPr>
        <w:t xml:space="preserve"> </w:t>
      </w:r>
      <w:r w:rsidRPr="008E0E95">
        <w:rPr>
          <w:rFonts w:cs="Lohit Hindi"/>
          <w:bCs/>
          <w:sz w:val="24"/>
          <w:szCs w:val="24"/>
        </w:rPr>
        <w:t xml:space="preserve">scored </w:t>
      </w:r>
      <w:r w:rsidR="00E56A39">
        <w:rPr>
          <w:rFonts w:cs="Lohit Hindi"/>
          <w:bCs/>
          <w:sz w:val="24"/>
          <w:szCs w:val="24"/>
        </w:rPr>
        <w:t>8 p</w:t>
      </w:r>
      <w:r w:rsidRPr="008E0E95">
        <w:rPr>
          <w:rFonts w:cs="Lohit Hindi"/>
          <w:bCs/>
          <w:sz w:val="24"/>
          <w:szCs w:val="24"/>
        </w:rPr>
        <w:t>er cent in the benchmarks in this dimension</w:t>
      </w:r>
      <w:r w:rsidR="00E56A39">
        <w:rPr>
          <w:rFonts w:cs="Lohit Hindi"/>
          <w:bCs/>
          <w:sz w:val="24"/>
          <w:szCs w:val="24"/>
        </w:rPr>
        <w:t xml:space="preserve"> (1 out of 13)</w:t>
      </w:r>
      <w:r w:rsidRPr="008E0E95">
        <w:rPr>
          <w:rFonts w:cs="Lohit Hindi"/>
          <w:bCs/>
          <w:sz w:val="24"/>
          <w:szCs w:val="24"/>
        </w:rPr>
        <w:t>. The main a</w:t>
      </w:r>
      <w:r w:rsidR="00E56A39">
        <w:rPr>
          <w:rFonts w:cs="Lohit Hindi"/>
          <w:bCs/>
          <w:sz w:val="24"/>
          <w:szCs w:val="24"/>
        </w:rPr>
        <w:t>chievement</w:t>
      </w:r>
      <w:r w:rsidR="000F3460">
        <w:rPr>
          <w:rFonts w:cs="Lohit Hindi"/>
          <w:bCs/>
          <w:sz w:val="24"/>
          <w:szCs w:val="24"/>
        </w:rPr>
        <w:t>s</w:t>
      </w:r>
      <w:r w:rsidR="00E56A39">
        <w:rPr>
          <w:rFonts w:cs="Lohit Hindi"/>
          <w:bCs/>
          <w:sz w:val="24"/>
          <w:szCs w:val="24"/>
        </w:rPr>
        <w:t xml:space="preserve"> </w:t>
      </w:r>
      <w:r w:rsidR="000F3460">
        <w:rPr>
          <w:rFonts w:cs="Lohit Hindi"/>
          <w:bCs/>
          <w:sz w:val="24"/>
          <w:szCs w:val="24"/>
        </w:rPr>
        <w:t>are</w:t>
      </w:r>
      <w:r w:rsidR="00E56A39">
        <w:rPr>
          <w:rFonts w:cs="Lohit Hindi"/>
          <w:bCs/>
          <w:sz w:val="24"/>
          <w:szCs w:val="24"/>
        </w:rPr>
        <w:t xml:space="preserve"> related to the successful implementation of the Equal Pay Policy.  The main gaps include the full</w:t>
      </w:r>
      <w:r w:rsidR="0081478C">
        <w:rPr>
          <w:rFonts w:cs="Lohit Hindi"/>
          <w:bCs/>
          <w:sz w:val="24"/>
          <w:szCs w:val="24"/>
        </w:rPr>
        <w:t xml:space="preserve"> rollout, at HQ and field office level,</w:t>
      </w:r>
      <w:r w:rsidR="00E56A39">
        <w:rPr>
          <w:rFonts w:cs="Lohit Hindi"/>
          <w:bCs/>
          <w:sz w:val="24"/>
          <w:szCs w:val="24"/>
        </w:rPr>
        <w:t xml:space="preserve"> of the policies related to SH/PSEA, parity and work-life balance</w:t>
      </w:r>
      <w:r w:rsidR="0081478C">
        <w:rPr>
          <w:rFonts w:cs="Lohit Hindi"/>
          <w:bCs/>
          <w:sz w:val="24"/>
          <w:szCs w:val="24"/>
        </w:rPr>
        <w:t>; and the address</w:t>
      </w:r>
      <w:r w:rsidR="000F3460">
        <w:rPr>
          <w:rFonts w:cs="Lohit Hindi"/>
          <w:bCs/>
          <w:sz w:val="24"/>
          <w:szCs w:val="24"/>
        </w:rPr>
        <w:t>al</w:t>
      </w:r>
      <w:r w:rsidR="0081478C">
        <w:rPr>
          <w:rFonts w:cs="Lohit Hindi"/>
          <w:bCs/>
          <w:sz w:val="24"/>
          <w:szCs w:val="24"/>
        </w:rPr>
        <w:t xml:space="preserve"> of key issues regarding the work environment such as transparency and conflict management.</w:t>
      </w:r>
      <w:r w:rsidR="00E56A39">
        <w:rPr>
          <w:rFonts w:cs="Lohit Hindi"/>
          <w:bCs/>
          <w:sz w:val="24"/>
          <w:szCs w:val="24"/>
        </w:rPr>
        <w:t xml:space="preserve"> </w:t>
      </w:r>
    </w:p>
    <w:p w14:paraId="363E0A76" w14:textId="5756D334" w:rsidR="00E56A39" w:rsidRPr="00385346" w:rsidRDefault="00F86353" w:rsidP="004F3BB8">
      <w:pPr>
        <w:pStyle w:val="ListParagraph"/>
        <w:numPr>
          <w:ilvl w:val="0"/>
          <w:numId w:val="13"/>
        </w:numPr>
        <w:tabs>
          <w:tab w:val="left" w:pos="360"/>
        </w:tabs>
        <w:spacing w:after="120" w:line="240" w:lineRule="auto"/>
        <w:ind w:hanging="720"/>
        <w:jc w:val="both"/>
        <w:rPr>
          <w:rFonts w:cs="Lohit Hindi"/>
          <w:bCs/>
          <w:color w:val="auto"/>
        </w:rPr>
      </w:pPr>
      <w:r w:rsidRPr="00385346">
        <w:rPr>
          <w:rFonts w:cs="Lohit Hindi"/>
          <w:bCs/>
          <w:color w:val="auto"/>
        </w:rPr>
        <w:t>The IAD</w:t>
      </w:r>
      <w:r w:rsidR="00D94F0F">
        <w:rPr>
          <w:rFonts w:cs="Lohit Hindi"/>
          <w:bCs/>
          <w:color w:val="auto"/>
        </w:rPr>
        <w:t>C</w:t>
      </w:r>
      <w:r w:rsidRPr="00385346">
        <w:rPr>
          <w:rFonts w:cs="Lohit Hindi"/>
          <w:bCs/>
          <w:color w:val="auto"/>
        </w:rPr>
        <w:t xml:space="preserve"> has </w:t>
      </w:r>
      <w:r w:rsidR="0081478C" w:rsidRPr="00385346">
        <w:rPr>
          <w:rFonts w:cs="Lohit Hindi"/>
          <w:bCs/>
          <w:color w:val="auto"/>
        </w:rPr>
        <w:t xml:space="preserve">successfully </w:t>
      </w:r>
      <w:r w:rsidRPr="00385346">
        <w:rPr>
          <w:rFonts w:cs="Lohit Hindi"/>
          <w:bCs/>
          <w:color w:val="auto"/>
        </w:rPr>
        <w:t>implemented the government’s Equal Pay Policy</w:t>
      </w:r>
      <w:r w:rsidR="0081478C" w:rsidRPr="00385346">
        <w:rPr>
          <w:rFonts w:cs="Lohit Hindi"/>
          <w:bCs/>
          <w:color w:val="auto"/>
        </w:rPr>
        <w:t>.</w:t>
      </w:r>
    </w:p>
    <w:p w14:paraId="6C62B5E5" w14:textId="6D06377A" w:rsidR="00CD2989" w:rsidRPr="00385346" w:rsidRDefault="0081478C" w:rsidP="004F3BB8">
      <w:pPr>
        <w:pStyle w:val="ListParagraph"/>
        <w:numPr>
          <w:ilvl w:val="0"/>
          <w:numId w:val="13"/>
        </w:numPr>
        <w:tabs>
          <w:tab w:val="left" w:pos="360"/>
        </w:tabs>
        <w:spacing w:after="120" w:line="240" w:lineRule="auto"/>
        <w:ind w:left="360"/>
        <w:jc w:val="both"/>
        <w:rPr>
          <w:rFonts w:cs="Lohit Hindi"/>
          <w:bCs/>
          <w:color w:val="auto"/>
        </w:rPr>
      </w:pPr>
      <w:r w:rsidRPr="00385346">
        <w:rPr>
          <w:rFonts w:cs="Lohit Hindi"/>
          <w:bCs/>
          <w:color w:val="auto"/>
        </w:rPr>
        <w:t xml:space="preserve">It has </w:t>
      </w:r>
      <w:r w:rsidR="00F86353" w:rsidRPr="00385346">
        <w:rPr>
          <w:rFonts w:cs="Lohit Hindi"/>
          <w:bCs/>
          <w:color w:val="auto"/>
        </w:rPr>
        <w:t>undertaken initial actions to implement the corporate policies on Sexual Harassment and SEA,</w:t>
      </w:r>
      <w:r w:rsidRPr="00385346">
        <w:rPr>
          <w:rFonts w:cs="Lohit Hindi"/>
          <w:bCs/>
          <w:color w:val="auto"/>
        </w:rPr>
        <w:t xml:space="preserve"> </w:t>
      </w:r>
      <w:r w:rsidR="00F86353" w:rsidRPr="00385346">
        <w:rPr>
          <w:rFonts w:cs="Lohit Hindi"/>
          <w:bCs/>
          <w:color w:val="auto"/>
        </w:rPr>
        <w:t xml:space="preserve">including informing staff about the policies, and </w:t>
      </w:r>
      <w:r w:rsidRPr="00385346">
        <w:rPr>
          <w:rFonts w:cs="Lohit Hindi"/>
          <w:bCs/>
          <w:color w:val="auto"/>
        </w:rPr>
        <w:t xml:space="preserve">is </w:t>
      </w:r>
      <w:r w:rsidR="00F86353" w:rsidRPr="00385346">
        <w:rPr>
          <w:rFonts w:cs="Lohit Hindi"/>
          <w:bCs/>
          <w:color w:val="auto"/>
        </w:rPr>
        <w:t xml:space="preserve">planning </w:t>
      </w:r>
      <w:r w:rsidRPr="00385346">
        <w:rPr>
          <w:rFonts w:cs="Lohit Hindi"/>
          <w:bCs/>
          <w:color w:val="auto"/>
        </w:rPr>
        <w:t xml:space="preserve">to continue as of </w:t>
      </w:r>
      <w:r w:rsidR="00F86353" w:rsidRPr="00385346">
        <w:rPr>
          <w:rFonts w:cs="Lohit Hindi"/>
          <w:bCs/>
          <w:color w:val="auto"/>
        </w:rPr>
        <w:t>September 2020.</w:t>
      </w:r>
    </w:p>
    <w:p w14:paraId="228B2DA5" w14:textId="1FDE4979" w:rsidR="0081478C" w:rsidRPr="00385346" w:rsidRDefault="0081478C" w:rsidP="004F3BB8">
      <w:pPr>
        <w:pStyle w:val="ListParagraph"/>
        <w:numPr>
          <w:ilvl w:val="0"/>
          <w:numId w:val="13"/>
        </w:numPr>
        <w:tabs>
          <w:tab w:val="left" w:pos="360"/>
        </w:tabs>
        <w:spacing w:after="120" w:line="240" w:lineRule="auto"/>
        <w:ind w:left="360"/>
        <w:jc w:val="both"/>
        <w:rPr>
          <w:rFonts w:cs="Lohit Hindi"/>
          <w:bCs/>
          <w:color w:val="auto"/>
        </w:rPr>
      </w:pPr>
      <w:r w:rsidRPr="00385346">
        <w:rPr>
          <w:rFonts w:cs="Lohit Hindi"/>
          <w:bCs/>
          <w:color w:val="auto"/>
        </w:rPr>
        <w:t>The IAD</w:t>
      </w:r>
      <w:r w:rsidR="00D94F0F">
        <w:rPr>
          <w:rFonts w:cs="Lohit Hindi"/>
          <w:bCs/>
          <w:color w:val="auto"/>
        </w:rPr>
        <w:t>C</w:t>
      </w:r>
      <w:r w:rsidRPr="00385346">
        <w:rPr>
          <w:rFonts w:cs="Lohit Hindi"/>
          <w:bCs/>
          <w:color w:val="auto"/>
        </w:rPr>
        <w:t xml:space="preserve"> has a gender parity policy in place and </w:t>
      </w:r>
      <w:r w:rsidR="000F3460">
        <w:rPr>
          <w:rFonts w:cs="Lohit Hindi"/>
          <w:bCs/>
          <w:color w:val="auto"/>
        </w:rPr>
        <w:t xml:space="preserve">regularly consults staff </w:t>
      </w:r>
      <w:r w:rsidRPr="00385346">
        <w:rPr>
          <w:rFonts w:cs="Lohit Hindi"/>
          <w:bCs/>
          <w:color w:val="auto"/>
        </w:rPr>
        <w:t xml:space="preserve">regarding this issue </w:t>
      </w:r>
      <w:r w:rsidR="000F3460">
        <w:rPr>
          <w:rFonts w:cs="Lohit Hindi"/>
          <w:bCs/>
          <w:color w:val="auto"/>
        </w:rPr>
        <w:t>(</w:t>
      </w:r>
      <w:r w:rsidRPr="00385346">
        <w:rPr>
          <w:rFonts w:cs="Lohit Hindi"/>
          <w:bCs/>
          <w:color w:val="auto"/>
        </w:rPr>
        <w:t>genera</w:t>
      </w:r>
      <w:r w:rsidR="000F3460">
        <w:rPr>
          <w:rFonts w:cs="Lohit Hindi"/>
          <w:bCs/>
          <w:color w:val="auto"/>
        </w:rPr>
        <w:t>l</w:t>
      </w:r>
      <w:r w:rsidRPr="00385346">
        <w:rPr>
          <w:rFonts w:cs="Lohit Hindi"/>
          <w:bCs/>
          <w:color w:val="auto"/>
        </w:rPr>
        <w:t xml:space="preserve"> staff survey</w:t>
      </w:r>
      <w:r w:rsidR="000F3460">
        <w:rPr>
          <w:rFonts w:cs="Lohit Hindi"/>
          <w:bCs/>
          <w:color w:val="auto"/>
        </w:rPr>
        <w:t>)</w:t>
      </w:r>
      <w:r w:rsidRPr="00385346">
        <w:rPr>
          <w:rFonts w:cs="Lohit Hindi"/>
          <w:bCs/>
          <w:color w:val="auto"/>
        </w:rPr>
        <w:t>.  However, it does not present data from the corporate data tracking system, to show whether it has achieved parity or not.</w:t>
      </w:r>
    </w:p>
    <w:p w14:paraId="20E19095" w14:textId="01AE04FC" w:rsidR="00712D9F" w:rsidRPr="00385346" w:rsidRDefault="00712D9F" w:rsidP="004F3BB8">
      <w:pPr>
        <w:pStyle w:val="ListParagraph"/>
        <w:numPr>
          <w:ilvl w:val="0"/>
          <w:numId w:val="13"/>
        </w:numPr>
        <w:tabs>
          <w:tab w:val="left" w:pos="360"/>
        </w:tabs>
        <w:spacing w:after="120" w:line="240" w:lineRule="auto"/>
        <w:ind w:left="360"/>
        <w:jc w:val="both"/>
        <w:rPr>
          <w:rFonts w:cs="Lohit Hindi"/>
          <w:bCs/>
          <w:color w:val="auto"/>
        </w:rPr>
      </w:pPr>
      <w:r w:rsidRPr="00385346">
        <w:rPr>
          <w:rFonts w:cs="Lohit Hindi"/>
          <w:bCs/>
          <w:color w:val="auto"/>
        </w:rPr>
        <w:t xml:space="preserve">The </w:t>
      </w:r>
      <w:r w:rsidR="00385346" w:rsidRPr="00385346">
        <w:rPr>
          <w:rFonts w:cs="Lohit Hindi"/>
          <w:bCs/>
          <w:color w:val="auto"/>
        </w:rPr>
        <w:t xml:space="preserve">organization has not provided </w:t>
      </w:r>
      <w:r w:rsidRPr="00385346">
        <w:rPr>
          <w:rFonts w:cs="Lohit Hindi"/>
          <w:bCs/>
          <w:color w:val="auto"/>
        </w:rPr>
        <w:t xml:space="preserve">information to show whether </w:t>
      </w:r>
      <w:r w:rsidR="00385346" w:rsidRPr="00385346">
        <w:rPr>
          <w:rFonts w:cs="Lohit Hindi"/>
          <w:bCs/>
          <w:color w:val="auto"/>
        </w:rPr>
        <w:t>they achieve or not the benchmarks related to open and participatory processes.</w:t>
      </w:r>
    </w:p>
    <w:p w14:paraId="5DA0778B" w14:textId="3F501A1E" w:rsidR="00385346" w:rsidRPr="00385346" w:rsidRDefault="00385346" w:rsidP="004F3BB8">
      <w:pPr>
        <w:tabs>
          <w:tab w:val="left" w:pos="360"/>
        </w:tabs>
        <w:spacing w:after="120" w:line="240" w:lineRule="auto"/>
        <w:jc w:val="both"/>
        <w:rPr>
          <w:rFonts w:cs="Lohit Hindi"/>
          <w:bCs/>
          <w:color w:val="2E74B5" w:themeColor="accent1" w:themeShade="BF"/>
          <w:sz w:val="24"/>
          <w:szCs w:val="24"/>
        </w:rPr>
      </w:pPr>
      <w:r>
        <w:rPr>
          <w:rFonts w:cs="Lohit Hindi"/>
          <w:bCs/>
          <w:color w:val="2E74B5" w:themeColor="accent1" w:themeShade="BF"/>
          <w:sz w:val="24"/>
          <w:szCs w:val="24"/>
        </w:rPr>
        <w:lastRenderedPageBreak/>
        <w:t xml:space="preserve">Communications and </w:t>
      </w:r>
      <w:r w:rsidRPr="00385346">
        <w:rPr>
          <w:rFonts w:cs="Lohit Hindi"/>
          <w:bCs/>
          <w:color w:val="2E74B5" w:themeColor="accent1" w:themeShade="BF"/>
          <w:sz w:val="24"/>
          <w:szCs w:val="24"/>
        </w:rPr>
        <w:t>Knowledge managemen</w:t>
      </w:r>
      <w:r>
        <w:rPr>
          <w:rFonts w:cs="Lohit Hindi"/>
          <w:bCs/>
          <w:color w:val="2E74B5" w:themeColor="accent1" w:themeShade="BF"/>
          <w:sz w:val="24"/>
          <w:szCs w:val="24"/>
        </w:rPr>
        <w:t>t</w:t>
      </w:r>
    </w:p>
    <w:p w14:paraId="0C01DA78" w14:textId="24382505" w:rsidR="00385346" w:rsidRPr="00385346" w:rsidRDefault="00385346" w:rsidP="004F3BB8">
      <w:pPr>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cs="Lohit Hindi"/>
          <w:bCs/>
          <w:sz w:val="24"/>
          <w:szCs w:val="24"/>
        </w:rPr>
      </w:pPr>
      <w:r w:rsidRPr="00385346">
        <w:rPr>
          <w:rFonts w:cs="Lohit Hindi"/>
          <w:bCs/>
          <w:sz w:val="24"/>
          <w:szCs w:val="24"/>
        </w:rPr>
        <w:t xml:space="preserve">The </w:t>
      </w:r>
      <w:r>
        <w:rPr>
          <w:rFonts w:cs="Lohit Hindi"/>
          <w:bCs/>
          <w:sz w:val="24"/>
          <w:szCs w:val="24"/>
        </w:rPr>
        <w:t>IAD</w:t>
      </w:r>
      <w:r w:rsidR="00D94F0F">
        <w:rPr>
          <w:rFonts w:cs="Lohit Hindi"/>
          <w:bCs/>
          <w:sz w:val="24"/>
          <w:szCs w:val="24"/>
        </w:rPr>
        <w:t>C</w:t>
      </w:r>
      <w:r w:rsidRPr="00385346">
        <w:rPr>
          <w:rFonts w:cs="Lohit Hindi"/>
          <w:bCs/>
          <w:sz w:val="24"/>
          <w:szCs w:val="24"/>
        </w:rPr>
        <w:t xml:space="preserve"> has scored </w:t>
      </w:r>
      <w:r>
        <w:rPr>
          <w:rFonts w:cs="Lohit Hindi"/>
          <w:bCs/>
          <w:sz w:val="24"/>
          <w:szCs w:val="24"/>
        </w:rPr>
        <w:t>very good</w:t>
      </w:r>
      <w:r w:rsidRPr="00385346">
        <w:rPr>
          <w:rFonts w:cs="Lohit Hindi"/>
          <w:bCs/>
          <w:sz w:val="24"/>
          <w:szCs w:val="24"/>
        </w:rPr>
        <w:t xml:space="preserve"> results in this dimension, with a total of </w:t>
      </w:r>
      <w:r>
        <w:rPr>
          <w:rFonts w:cs="Lohit Hindi"/>
          <w:bCs/>
          <w:sz w:val="24"/>
          <w:szCs w:val="24"/>
        </w:rPr>
        <w:t>67</w:t>
      </w:r>
      <w:r w:rsidR="000F3460">
        <w:rPr>
          <w:rFonts w:cs="Lohit Hindi"/>
          <w:bCs/>
          <w:sz w:val="24"/>
          <w:szCs w:val="24"/>
        </w:rPr>
        <w:t xml:space="preserve"> per cent</w:t>
      </w:r>
      <w:r w:rsidRPr="00385346">
        <w:rPr>
          <w:rFonts w:cs="Lohit Hindi"/>
          <w:bCs/>
          <w:sz w:val="24"/>
          <w:szCs w:val="24"/>
        </w:rPr>
        <w:t xml:space="preserve"> benchmarks achieved</w:t>
      </w:r>
      <w:r>
        <w:rPr>
          <w:rFonts w:cs="Lohit Hindi"/>
          <w:bCs/>
          <w:sz w:val="24"/>
          <w:szCs w:val="24"/>
        </w:rPr>
        <w:t xml:space="preserve"> (2 out of 3)</w:t>
      </w:r>
      <w:r w:rsidRPr="00385346">
        <w:rPr>
          <w:rFonts w:cs="Lohit Hindi"/>
          <w:bCs/>
          <w:sz w:val="24"/>
          <w:szCs w:val="24"/>
        </w:rPr>
        <w:t xml:space="preserve">. The strongest results </w:t>
      </w:r>
      <w:r w:rsidR="00017B56">
        <w:rPr>
          <w:rFonts w:cs="Lohit Hindi"/>
          <w:bCs/>
          <w:sz w:val="24"/>
          <w:szCs w:val="24"/>
        </w:rPr>
        <w:t xml:space="preserve">are related to external communications (partnership with </w:t>
      </w:r>
      <w:r w:rsidR="000F3460" w:rsidRPr="000F3460">
        <w:rPr>
          <w:rFonts w:cs="Lohit Hindi"/>
          <w:bCs/>
          <w:sz w:val="24"/>
          <w:szCs w:val="24"/>
          <w:lang w:val="en-GB"/>
        </w:rPr>
        <w:t>V</w:t>
      </w:r>
      <w:r w:rsidR="000F3460" w:rsidRPr="000F3460">
        <w:rPr>
          <w:rFonts w:cs="Lohit Hindi"/>
          <w:bCs/>
          <w:sz w:val="24"/>
          <w:szCs w:val="24"/>
        </w:rPr>
        <w:t>í</w:t>
      </w:r>
      <w:r w:rsidR="000F3460" w:rsidRPr="000F3460">
        <w:rPr>
          <w:rFonts w:cs="Lohit Hindi"/>
          <w:bCs/>
          <w:sz w:val="24"/>
          <w:szCs w:val="24"/>
          <w:lang w:val="en-GB"/>
        </w:rPr>
        <w:t>sir</w:t>
      </w:r>
      <w:r w:rsidR="000F3460" w:rsidRPr="000F3460">
        <w:rPr>
          <w:rFonts w:cs="Lohit Hindi"/>
          <w:bCs/>
          <w:sz w:val="24"/>
          <w:szCs w:val="24"/>
        </w:rPr>
        <w:t xml:space="preserve"> </w:t>
      </w:r>
      <w:r w:rsidR="00017B56">
        <w:rPr>
          <w:rFonts w:cs="Lohit Hindi"/>
          <w:bCs/>
          <w:sz w:val="24"/>
          <w:szCs w:val="24"/>
        </w:rPr>
        <w:t xml:space="preserve">and website) and the gaps to internal communications (Communications Plan, </w:t>
      </w:r>
      <w:proofErr w:type="gramStart"/>
      <w:r w:rsidR="00017B56">
        <w:rPr>
          <w:rFonts w:cs="Lohit Hindi"/>
          <w:bCs/>
          <w:sz w:val="24"/>
          <w:szCs w:val="24"/>
        </w:rPr>
        <w:t>guidelines</w:t>
      </w:r>
      <w:proofErr w:type="gramEnd"/>
      <w:r w:rsidR="00017B56">
        <w:rPr>
          <w:rFonts w:cs="Lohit Hindi"/>
          <w:bCs/>
          <w:sz w:val="24"/>
          <w:szCs w:val="24"/>
        </w:rPr>
        <w:t xml:space="preserve"> and training regarding gender-sen</w:t>
      </w:r>
      <w:r w:rsidR="000F3460">
        <w:rPr>
          <w:rFonts w:cs="Lohit Hindi"/>
          <w:bCs/>
          <w:sz w:val="24"/>
          <w:szCs w:val="24"/>
        </w:rPr>
        <w:t>si</w:t>
      </w:r>
      <w:r w:rsidR="00017B56">
        <w:rPr>
          <w:rFonts w:cs="Lohit Hindi"/>
          <w:bCs/>
          <w:sz w:val="24"/>
          <w:szCs w:val="24"/>
        </w:rPr>
        <w:t>tive and non-discriminatory communication).</w:t>
      </w:r>
    </w:p>
    <w:p w14:paraId="21D8CEBE" w14:textId="6FDF9B79" w:rsidR="00385346" w:rsidRDefault="00385346" w:rsidP="004F3BB8">
      <w:pPr>
        <w:numPr>
          <w:ilvl w:val="0"/>
          <w:numId w:val="1"/>
        </w:numPr>
        <w:spacing w:after="120" w:line="240" w:lineRule="auto"/>
        <w:ind w:left="360"/>
        <w:rPr>
          <w:sz w:val="24"/>
          <w:szCs w:val="24"/>
        </w:rPr>
      </w:pPr>
      <w:r w:rsidRPr="001D06A6">
        <w:rPr>
          <w:sz w:val="24"/>
          <w:szCs w:val="24"/>
        </w:rPr>
        <w:t xml:space="preserve">The </w:t>
      </w:r>
      <w:r w:rsidR="00017B56">
        <w:rPr>
          <w:sz w:val="24"/>
          <w:szCs w:val="24"/>
        </w:rPr>
        <w:t>IAD</w:t>
      </w:r>
      <w:r w:rsidR="00D94F0F">
        <w:rPr>
          <w:sz w:val="24"/>
          <w:szCs w:val="24"/>
        </w:rPr>
        <w:t>C</w:t>
      </w:r>
      <w:r w:rsidR="00017B56">
        <w:rPr>
          <w:sz w:val="24"/>
          <w:szCs w:val="24"/>
        </w:rPr>
        <w:t xml:space="preserve"> </w:t>
      </w:r>
      <w:r w:rsidRPr="001D06A6">
        <w:rPr>
          <w:sz w:val="24"/>
          <w:szCs w:val="24"/>
        </w:rPr>
        <w:t xml:space="preserve">has produced a steady offer of good quality articles on its work regarding gender equality through its partnership with the </w:t>
      </w:r>
      <w:r w:rsidRPr="001D06A6">
        <w:rPr>
          <w:bCs/>
          <w:sz w:val="24"/>
          <w:szCs w:val="24"/>
          <w:lang w:val="en-GB"/>
        </w:rPr>
        <w:t xml:space="preserve">news outlet </w:t>
      </w:r>
      <w:bookmarkStart w:id="1" w:name="_Hlk48481849"/>
      <w:r w:rsidRPr="001D06A6">
        <w:rPr>
          <w:bCs/>
          <w:sz w:val="24"/>
          <w:szCs w:val="24"/>
          <w:lang w:val="en-GB"/>
        </w:rPr>
        <w:t>V</w:t>
      </w:r>
      <w:r w:rsidRPr="001D06A6">
        <w:rPr>
          <w:bCs/>
          <w:sz w:val="24"/>
          <w:szCs w:val="24"/>
        </w:rPr>
        <w:t>í</w:t>
      </w:r>
      <w:r w:rsidRPr="001D06A6">
        <w:rPr>
          <w:bCs/>
          <w:sz w:val="24"/>
          <w:szCs w:val="24"/>
          <w:lang w:val="en-GB"/>
        </w:rPr>
        <w:t>sir</w:t>
      </w:r>
      <w:bookmarkEnd w:id="1"/>
      <w:r w:rsidR="00017B56">
        <w:rPr>
          <w:bCs/>
          <w:sz w:val="24"/>
          <w:szCs w:val="24"/>
          <w:lang w:val="en-GB"/>
        </w:rPr>
        <w:t xml:space="preserve">.  It could expand/extend its work to develop </w:t>
      </w:r>
      <w:r w:rsidRPr="001D06A6">
        <w:rPr>
          <w:bCs/>
          <w:sz w:val="24"/>
          <w:szCs w:val="24"/>
          <w:lang w:val="en-GB"/>
        </w:rPr>
        <w:t xml:space="preserve">other types of knowledge products such as </w:t>
      </w:r>
      <w:r w:rsidRPr="001D06A6">
        <w:rPr>
          <w:sz w:val="24"/>
          <w:szCs w:val="24"/>
        </w:rPr>
        <w:t>“think-pieces” offering a conceptual or analytical framework on</w:t>
      </w:r>
      <w:r w:rsidR="00017B56">
        <w:rPr>
          <w:sz w:val="24"/>
          <w:szCs w:val="24"/>
        </w:rPr>
        <w:t xml:space="preserve"> gender issues</w:t>
      </w:r>
      <w:r w:rsidRPr="001D06A6">
        <w:rPr>
          <w:sz w:val="24"/>
          <w:szCs w:val="24"/>
        </w:rPr>
        <w:t>, research studies, training materials on gender and women's rights, tools for gender analysis, and/or data/information on relevant issues.</w:t>
      </w:r>
      <w:r w:rsidR="00017B56">
        <w:rPr>
          <w:sz w:val="24"/>
          <w:szCs w:val="24"/>
        </w:rPr>
        <w:t xml:space="preserve">  This </w:t>
      </w:r>
      <w:r w:rsidR="000F3460">
        <w:rPr>
          <w:sz w:val="24"/>
          <w:szCs w:val="24"/>
        </w:rPr>
        <w:t>w</w:t>
      </w:r>
      <w:r w:rsidR="00017B56">
        <w:rPr>
          <w:sz w:val="24"/>
          <w:szCs w:val="24"/>
        </w:rPr>
        <w:t xml:space="preserve">ould </w:t>
      </w:r>
      <w:r w:rsidR="000F3460">
        <w:rPr>
          <w:sz w:val="24"/>
          <w:szCs w:val="24"/>
        </w:rPr>
        <w:t>support</w:t>
      </w:r>
      <w:r w:rsidR="00017B56">
        <w:rPr>
          <w:sz w:val="24"/>
          <w:szCs w:val="24"/>
        </w:rPr>
        <w:t xml:space="preserve"> the capacity-building strategy and ensure both staff and partners are “on the same page” in complex issues such as gender-based violence (E.g.: domestic violence, child marriage, FGM, etc.).</w:t>
      </w:r>
    </w:p>
    <w:p w14:paraId="3AE9B39F" w14:textId="001F24FF" w:rsidR="00017B56" w:rsidRPr="00017B56" w:rsidRDefault="00017B56" w:rsidP="004F3BB8">
      <w:pPr>
        <w:numPr>
          <w:ilvl w:val="0"/>
          <w:numId w:val="1"/>
        </w:numPr>
        <w:spacing w:after="120" w:line="240" w:lineRule="auto"/>
        <w:ind w:left="360"/>
        <w:rPr>
          <w:sz w:val="24"/>
          <w:szCs w:val="24"/>
        </w:rPr>
      </w:pPr>
      <w:r>
        <w:rPr>
          <w:sz w:val="24"/>
          <w:szCs w:val="24"/>
        </w:rPr>
        <w:t xml:space="preserve">The website </w:t>
      </w:r>
      <w:r w:rsidR="000F3460">
        <w:rPr>
          <w:sz w:val="24"/>
          <w:szCs w:val="24"/>
        </w:rPr>
        <w:t xml:space="preserve">clearly </w:t>
      </w:r>
      <w:r>
        <w:rPr>
          <w:sz w:val="24"/>
          <w:szCs w:val="24"/>
        </w:rPr>
        <w:t>shows the organization’s commitment towards gender equality.</w:t>
      </w:r>
    </w:p>
    <w:p w14:paraId="008E5298" w14:textId="77777777" w:rsidR="00373326" w:rsidRDefault="00373326" w:rsidP="004F3BB8">
      <w:pPr>
        <w:spacing w:after="120" w:line="240" w:lineRule="auto"/>
        <w:jc w:val="both"/>
        <w:rPr>
          <w:rFonts w:cs="Lohit Hindi"/>
          <w:bCs/>
          <w:color w:val="2E74B5" w:themeColor="accent1" w:themeShade="BF"/>
          <w:sz w:val="24"/>
          <w:szCs w:val="24"/>
        </w:rPr>
      </w:pPr>
    </w:p>
    <w:p w14:paraId="7D0FEA64" w14:textId="1C86F5BF" w:rsidR="008153A9" w:rsidRPr="008153A9" w:rsidRDefault="008153A9" w:rsidP="004F3BB8">
      <w:pPr>
        <w:spacing w:after="120" w:line="240" w:lineRule="auto"/>
        <w:jc w:val="both"/>
        <w:rPr>
          <w:rFonts w:cs="Lohit Hindi"/>
          <w:bCs/>
          <w:color w:val="2E74B5" w:themeColor="accent1" w:themeShade="BF"/>
          <w:sz w:val="24"/>
          <w:szCs w:val="24"/>
        </w:rPr>
      </w:pPr>
      <w:r w:rsidRPr="008153A9">
        <w:rPr>
          <w:rFonts w:cs="Lohit Hindi"/>
          <w:bCs/>
          <w:color w:val="2E74B5" w:themeColor="accent1" w:themeShade="BF"/>
          <w:sz w:val="24"/>
          <w:szCs w:val="24"/>
        </w:rPr>
        <w:t xml:space="preserve">Projects/ </w:t>
      </w:r>
      <w:proofErr w:type="spellStart"/>
      <w:r w:rsidRPr="008153A9">
        <w:rPr>
          <w:rFonts w:cs="Lohit Hindi"/>
          <w:bCs/>
          <w:color w:val="2E74B5" w:themeColor="accent1" w:themeShade="BF"/>
          <w:sz w:val="24"/>
          <w:szCs w:val="24"/>
        </w:rPr>
        <w:t>programmes</w:t>
      </w:r>
      <w:proofErr w:type="spellEnd"/>
    </w:p>
    <w:p w14:paraId="6017E510" w14:textId="229C75B2" w:rsidR="008153A9" w:rsidRDefault="008153A9" w:rsidP="004F3BB8">
      <w:pPr>
        <w:pBdr>
          <w:top w:val="single" w:sz="4" w:space="1" w:color="auto"/>
          <w:left w:val="single" w:sz="4" w:space="4" w:color="auto"/>
          <w:bottom w:val="single" w:sz="4" w:space="1" w:color="auto"/>
          <w:right w:val="single" w:sz="4" w:space="4" w:color="auto"/>
        </w:pBdr>
        <w:spacing w:after="120" w:line="240" w:lineRule="auto"/>
        <w:jc w:val="both"/>
        <w:rPr>
          <w:rFonts w:cs="Lohit Hindi"/>
          <w:bCs/>
          <w:sz w:val="24"/>
          <w:szCs w:val="24"/>
        </w:rPr>
      </w:pPr>
      <w:r w:rsidRPr="008153A9">
        <w:rPr>
          <w:rFonts w:cs="Lohit Hindi"/>
          <w:bCs/>
          <w:sz w:val="24"/>
          <w:szCs w:val="24"/>
        </w:rPr>
        <w:t xml:space="preserve">The </w:t>
      </w:r>
      <w:r>
        <w:rPr>
          <w:rFonts w:cs="Lohit Hindi"/>
          <w:bCs/>
          <w:sz w:val="24"/>
          <w:szCs w:val="24"/>
        </w:rPr>
        <w:t>IAD</w:t>
      </w:r>
      <w:r w:rsidR="00D94F0F">
        <w:rPr>
          <w:rFonts w:cs="Lohit Hindi"/>
          <w:bCs/>
          <w:sz w:val="24"/>
          <w:szCs w:val="24"/>
        </w:rPr>
        <w:t>C</w:t>
      </w:r>
      <w:r w:rsidRPr="008153A9">
        <w:rPr>
          <w:rFonts w:cs="Lohit Hindi"/>
          <w:bCs/>
          <w:sz w:val="24"/>
          <w:szCs w:val="24"/>
        </w:rPr>
        <w:t xml:space="preserve"> has obtained </w:t>
      </w:r>
      <w:r w:rsidR="00251686">
        <w:rPr>
          <w:rFonts w:cs="Lohit Hindi"/>
          <w:bCs/>
          <w:sz w:val="24"/>
          <w:szCs w:val="24"/>
        </w:rPr>
        <w:t xml:space="preserve">a low </w:t>
      </w:r>
      <w:r w:rsidRPr="008153A9">
        <w:rPr>
          <w:rFonts w:cs="Lohit Hindi"/>
          <w:bCs/>
          <w:sz w:val="24"/>
          <w:szCs w:val="24"/>
        </w:rPr>
        <w:t>scor</w:t>
      </w:r>
      <w:r w:rsidR="00251686">
        <w:rPr>
          <w:rFonts w:cs="Lohit Hindi"/>
          <w:bCs/>
          <w:sz w:val="24"/>
          <w:szCs w:val="24"/>
        </w:rPr>
        <w:t>e</w:t>
      </w:r>
      <w:r w:rsidRPr="008153A9">
        <w:rPr>
          <w:rFonts w:cs="Lohit Hindi"/>
          <w:bCs/>
          <w:sz w:val="24"/>
          <w:szCs w:val="24"/>
        </w:rPr>
        <w:t xml:space="preserve"> in this dimension with</w:t>
      </w:r>
      <w:r w:rsidR="00251686">
        <w:rPr>
          <w:rFonts w:cs="Lohit Hindi"/>
          <w:bCs/>
          <w:sz w:val="24"/>
          <w:szCs w:val="24"/>
        </w:rPr>
        <w:t xml:space="preserve"> one</w:t>
      </w:r>
      <w:r>
        <w:rPr>
          <w:rFonts w:cs="Lohit Hindi"/>
          <w:bCs/>
          <w:sz w:val="24"/>
          <w:szCs w:val="24"/>
        </w:rPr>
        <w:t xml:space="preserve"> benchmark achieved (</w:t>
      </w:r>
      <w:r w:rsidR="00251686">
        <w:rPr>
          <w:rFonts w:cs="Lohit Hindi"/>
          <w:bCs/>
          <w:sz w:val="24"/>
          <w:szCs w:val="24"/>
        </w:rPr>
        <w:t>1</w:t>
      </w:r>
      <w:r>
        <w:rPr>
          <w:rFonts w:cs="Lohit Hindi"/>
          <w:bCs/>
          <w:sz w:val="24"/>
          <w:szCs w:val="24"/>
        </w:rPr>
        <w:t xml:space="preserve"> out of </w:t>
      </w:r>
      <w:r w:rsidR="004148D9">
        <w:rPr>
          <w:rFonts w:cs="Lohit Hindi"/>
          <w:bCs/>
          <w:sz w:val="24"/>
          <w:szCs w:val="24"/>
        </w:rPr>
        <w:t>7</w:t>
      </w:r>
      <w:r>
        <w:rPr>
          <w:rFonts w:cs="Lohit Hindi"/>
          <w:bCs/>
          <w:sz w:val="24"/>
          <w:szCs w:val="24"/>
        </w:rPr>
        <w:t xml:space="preserve">).  Positive achievements include high equality external evaluations both at HQ and field office level. On the other hand, clear gaps remain </w:t>
      </w:r>
      <w:r w:rsidRPr="008153A9">
        <w:rPr>
          <w:rFonts w:cs="Lohit Hindi"/>
          <w:bCs/>
          <w:sz w:val="24"/>
          <w:szCs w:val="24"/>
        </w:rPr>
        <w:t xml:space="preserve">in ensuring </w:t>
      </w:r>
      <w:r>
        <w:rPr>
          <w:rFonts w:cs="Lohit Hindi"/>
          <w:bCs/>
          <w:sz w:val="24"/>
          <w:szCs w:val="24"/>
        </w:rPr>
        <w:t>gender is effectively mainstreamed throughout the project cycle.</w:t>
      </w:r>
    </w:p>
    <w:p w14:paraId="3A86A736" w14:textId="1531B584" w:rsidR="003419B0" w:rsidRDefault="003419B0" w:rsidP="004F3BB8">
      <w:pPr>
        <w:pStyle w:val="ListParagraph"/>
        <w:numPr>
          <w:ilvl w:val="0"/>
          <w:numId w:val="1"/>
        </w:numPr>
        <w:spacing w:after="120" w:line="240" w:lineRule="auto"/>
        <w:ind w:left="389"/>
        <w:rPr>
          <w:rFonts w:ascii="Calibri" w:hAnsi="Calibri"/>
          <w:color w:val="auto"/>
        </w:rPr>
      </w:pPr>
      <w:r w:rsidRPr="003419B0">
        <w:rPr>
          <w:rFonts w:ascii="Calibri" w:hAnsi="Calibri"/>
          <w:color w:val="auto"/>
        </w:rPr>
        <w:t xml:space="preserve">The </w:t>
      </w:r>
      <w:r>
        <w:rPr>
          <w:rFonts w:ascii="Calibri" w:hAnsi="Calibri"/>
          <w:color w:val="auto"/>
        </w:rPr>
        <w:t>IAD</w:t>
      </w:r>
      <w:r w:rsidR="00D94F0F">
        <w:rPr>
          <w:rFonts w:ascii="Calibri" w:hAnsi="Calibri"/>
          <w:color w:val="auto"/>
        </w:rPr>
        <w:t>C</w:t>
      </w:r>
      <w:r>
        <w:rPr>
          <w:rFonts w:ascii="Calibri" w:hAnsi="Calibri"/>
          <w:color w:val="auto"/>
        </w:rPr>
        <w:t xml:space="preserve"> does not have</w:t>
      </w:r>
      <w:r w:rsidRPr="003419B0">
        <w:rPr>
          <w:rFonts w:ascii="Calibri" w:hAnsi="Calibri"/>
          <w:color w:val="auto"/>
        </w:rPr>
        <w:t xml:space="preserve"> systems in place to ensure gender mainstreaming is mandatory within the project cycle (gender analysis, gender screening, portfolio reviews, etc.).</w:t>
      </w:r>
    </w:p>
    <w:p w14:paraId="431A0643" w14:textId="77777777" w:rsidR="003419B0" w:rsidRPr="003419B0" w:rsidRDefault="003419B0" w:rsidP="004F3BB8">
      <w:pPr>
        <w:pStyle w:val="ListParagraph"/>
        <w:numPr>
          <w:ilvl w:val="0"/>
          <w:numId w:val="1"/>
        </w:numPr>
        <w:spacing w:after="120" w:line="240" w:lineRule="auto"/>
        <w:ind w:left="360"/>
        <w:rPr>
          <w:rFonts w:ascii="Calibri" w:hAnsi="Calibri"/>
          <w:color w:val="auto"/>
        </w:rPr>
      </w:pPr>
      <w:r w:rsidRPr="003419B0">
        <w:rPr>
          <w:rFonts w:ascii="Calibri" w:hAnsi="Calibri"/>
          <w:color w:val="auto"/>
        </w:rPr>
        <w:t>Whilst the organization has presented high quality evaluation reports, it needs to work to ensure the knowledge regarding its results on gender equality from every aspect of its work (multilateral and bilateral cooperation and humanitarian work) is systematically used to inform/strengthen future programming (I.e. Evaluation strategy, training workshops based on good practices and results, etc.).</w:t>
      </w:r>
    </w:p>
    <w:p w14:paraId="75FB8FF4" w14:textId="77777777" w:rsidR="004F3BB8" w:rsidRDefault="004F3BB8" w:rsidP="004F3BB8">
      <w:pPr>
        <w:spacing w:after="120" w:line="240" w:lineRule="auto"/>
        <w:rPr>
          <w:rFonts w:ascii="Calibri" w:hAnsi="Calibri"/>
          <w:color w:val="2E74B5" w:themeColor="accent1" w:themeShade="BF"/>
          <w:sz w:val="24"/>
          <w:szCs w:val="24"/>
        </w:rPr>
      </w:pPr>
    </w:p>
    <w:p w14:paraId="352EFF92" w14:textId="43AD9A0C" w:rsidR="00EB3EEF" w:rsidRPr="00EB3EEF" w:rsidRDefault="00EB3EEF" w:rsidP="004F3BB8">
      <w:pPr>
        <w:spacing w:after="120" w:line="240" w:lineRule="auto"/>
        <w:rPr>
          <w:rFonts w:ascii="Calibri" w:hAnsi="Calibri"/>
          <w:color w:val="2E74B5" w:themeColor="accent1" w:themeShade="BF"/>
          <w:sz w:val="24"/>
          <w:szCs w:val="24"/>
        </w:rPr>
      </w:pPr>
      <w:r w:rsidRPr="00EB3EEF">
        <w:rPr>
          <w:rFonts w:ascii="Calibri" w:hAnsi="Calibri"/>
          <w:color w:val="2E74B5" w:themeColor="accent1" w:themeShade="BF"/>
          <w:sz w:val="24"/>
          <w:szCs w:val="24"/>
        </w:rPr>
        <w:t>Partnerships</w:t>
      </w:r>
    </w:p>
    <w:p w14:paraId="6DEC753B" w14:textId="2AE80D38" w:rsidR="00EB3EEF" w:rsidRDefault="00EB3EEF" w:rsidP="004F3BB8">
      <w:pPr>
        <w:pBdr>
          <w:top w:val="single" w:sz="4" w:space="1" w:color="auto"/>
          <w:left w:val="single" w:sz="4" w:space="4" w:color="auto"/>
          <w:bottom w:val="single" w:sz="4" w:space="1" w:color="auto"/>
          <w:right w:val="single" w:sz="4" w:space="4" w:color="auto"/>
        </w:pBdr>
        <w:spacing w:after="120" w:line="240" w:lineRule="auto"/>
        <w:rPr>
          <w:rFonts w:ascii="Calibri" w:hAnsi="Calibri"/>
        </w:rPr>
      </w:pPr>
      <w:r w:rsidRPr="00EB3EEF">
        <w:rPr>
          <w:rFonts w:ascii="Calibri" w:hAnsi="Calibri"/>
          <w:sz w:val="24"/>
          <w:szCs w:val="24"/>
        </w:rPr>
        <w:t xml:space="preserve">The </w:t>
      </w:r>
      <w:r>
        <w:rPr>
          <w:rFonts w:ascii="Calibri" w:hAnsi="Calibri"/>
          <w:sz w:val="24"/>
          <w:szCs w:val="24"/>
        </w:rPr>
        <w:t>IAD</w:t>
      </w:r>
      <w:r w:rsidR="00D94F0F">
        <w:rPr>
          <w:rFonts w:ascii="Calibri" w:hAnsi="Calibri"/>
          <w:sz w:val="24"/>
          <w:szCs w:val="24"/>
        </w:rPr>
        <w:t>C</w:t>
      </w:r>
      <w:r>
        <w:rPr>
          <w:rFonts w:ascii="Calibri" w:hAnsi="Calibri"/>
          <w:sz w:val="24"/>
          <w:szCs w:val="24"/>
        </w:rPr>
        <w:t xml:space="preserve"> presents an outstanding performance</w:t>
      </w:r>
      <w:r w:rsidRPr="00EB3EEF">
        <w:rPr>
          <w:rFonts w:ascii="Calibri" w:hAnsi="Calibri"/>
          <w:sz w:val="24"/>
          <w:szCs w:val="24"/>
        </w:rPr>
        <w:t xml:space="preserve"> in this dimension, being one of the t</w:t>
      </w:r>
      <w:r>
        <w:rPr>
          <w:rFonts w:ascii="Calibri" w:hAnsi="Calibri"/>
          <w:sz w:val="24"/>
          <w:szCs w:val="24"/>
        </w:rPr>
        <w:t>wo</w:t>
      </w:r>
      <w:r w:rsidRPr="00EB3EEF">
        <w:rPr>
          <w:rFonts w:ascii="Calibri" w:hAnsi="Calibri"/>
          <w:sz w:val="24"/>
          <w:szCs w:val="24"/>
        </w:rPr>
        <w:t xml:space="preserve"> in which</w:t>
      </w:r>
      <w:r w:rsidR="000F3460">
        <w:rPr>
          <w:rFonts w:ascii="Calibri" w:hAnsi="Calibri"/>
          <w:sz w:val="24"/>
          <w:szCs w:val="24"/>
        </w:rPr>
        <w:t xml:space="preserve"> </w:t>
      </w:r>
      <w:r w:rsidRPr="00EB3EEF">
        <w:rPr>
          <w:rFonts w:ascii="Calibri" w:hAnsi="Calibri"/>
          <w:sz w:val="24"/>
          <w:szCs w:val="24"/>
        </w:rPr>
        <w:t xml:space="preserve">it has </w:t>
      </w:r>
      <w:r w:rsidR="00251686">
        <w:rPr>
          <w:rFonts w:ascii="Calibri" w:hAnsi="Calibri"/>
          <w:sz w:val="24"/>
          <w:szCs w:val="24"/>
        </w:rPr>
        <w:t xml:space="preserve">71.4 </w:t>
      </w:r>
      <w:r w:rsidRPr="00EB3EEF">
        <w:rPr>
          <w:rFonts w:ascii="Calibri" w:hAnsi="Calibri"/>
          <w:sz w:val="24"/>
          <w:szCs w:val="24"/>
        </w:rPr>
        <w:t>per cent compliance</w:t>
      </w:r>
      <w:r w:rsidR="000F3460">
        <w:rPr>
          <w:rFonts w:ascii="Calibri" w:hAnsi="Calibri"/>
          <w:sz w:val="24"/>
          <w:szCs w:val="24"/>
        </w:rPr>
        <w:t xml:space="preserve"> (</w:t>
      </w:r>
      <w:r w:rsidR="00251686">
        <w:rPr>
          <w:rFonts w:ascii="Calibri" w:hAnsi="Calibri"/>
          <w:sz w:val="24"/>
          <w:szCs w:val="24"/>
        </w:rPr>
        <w:t>5</w:t>
      </w:r>
      <w:r w:rsidR="000F3460">
        <w:rPr>
          <w:rFonts w:ascii="Calibri" w:hAnsi="Calibri"/>
          <w:sz w:val="24"/>
          <w:szCs w:val="24"/>
        </w:rPr>
        <w:t xml:space="preserve"> out of </w:t>
      </w:r>
      <w:r w:rsidR="00251686">
        <w:rPr>
          <w:rFonts w:ascii="Calibri" w:hAnsi="Calibri"/>
          <w:sz w:val="24"/>
          <w:szCs w:val="24"/>
        </w:rPr>
        <w:t>7</w:t>
      </w:r>
      <w:r w:rsidR="000F3460">
        <w:rPr>
          <w:rFonts w:ascii="Calibri" w:hAnsi="Calibri"/>
          <w:sz w:val="24"/>
          <w:szCs w:val="24"/>
        </w:rPr>
        <w:t>)</w:t>
      </w:r>
      <w:r w:rsidRPr="00EB3EEF">
        <w:rPr>
          <w:rFonts w:ascii="Calibri" w:hAnsi="Calibri"/>
          <w:sz w:val="24"/>
          <w:szCs w:val="24"/>
        </w:rPr>
        <w:t>, showing solid, systematic and effective partnerships with a diverse range of stakeholders</w:t>
      </w:r>
      <w:r>
        <w:rPr>
          <w:rFonts w:ascii="Calibri" w:hAnsi="Calibri"/>
          <w:sz w:val="24"/>
          <w:szCs w:val="24"/>
        </w:rPr>
        <w:t xml:space="preserve"> (fellow donors, UN Agencies, local governments and NGOs)</w:t>
      </w:r>
      <w:r w:rsidRPr="00EB3EEF">
        <w:rPr>
          <w:rFonts w:ascii="Calibri" w:hAnsi="Calibri"/>
          <w:sz w:val="24"/>
          <w:szCs w:val="24"/>
        </w:rPr>
        <w:t xml:space="preserve">. </w:t>
      </w:r>
    </w:p>
    <w:p w14:paraId="698237DB" w14:textId="4BED6D37" w:rsidR="003078B4" w:rsidRDefault="003078B4" w:rsidP="004F3BB8">
      <w:pPr>
        <w:pStyle w:val="ListParagraph"/>
        <w:numPr>
          <w:ilvl w:val="0"/>
          <w:numId w:val="14"/>
        </w:numPr>
        <w:spacing w:after="120" w:line="240" w:lineRule="auto"/>
        <w:ind w:left="360"/>
        <w:jc w:val="both"/>
        <w:rPr>
          <w:rFonts w:cs="Lohit Hindi"/>
          <w:bCs/>
          <w:color w:val="auto"/>
        </w:rPr>
      </w:pPr>
      <w:r w:rsidRPr="004A538A">
        <w:rPr>
          <w:rFonts w:cs="Lohit Hindi"/>
          <w:bCs/>
          <w:color w:val="auto"/>
        </w:rPr>
        <w:t>T</w:t>
      </w:r>
      <w:r w:rsidRPr="00EB3EEF">
        <w:rPr>
          <w:rFonts w:cs="Lohit Hindi"/>
          <w:bCs/>
          <w:color w:val="auto"/>
        </w:rPr>
        <w:t>he IAD</w:t>
      </w:r>
      <w:r w:rsidR="00D94F0F">
        <w:rPr>
          <w:rFonts w:cs="Lohit Hindi"/>
          <w:bCs/>
          <w:color w:val="auto"/>
        </w:rPr>
        <w:t>C</w:t>
      </w:r>
      <w:r w:rsidRPr="00EB3EEF">
        <w:rPr>
          <w:rFonts w:cs="Lohit Hindi"/>
          <w:bCs/>
          <w:color w:val="auto"/>
        </w:rPr>
        <w:t xml:space="preserve"> </w:t>
      </w:r>
      <w:r w:rsidR="005A5262">
        <w:rPr>
          <w:rFonts w:cs="Lohit Hindi"/>
          <w:bCs/>
          <w:color w:val="auto"/>
        </w:rPr>
        <w:t xml:space="preserve">has a clear </w:t>
      </w:r>
      <w:r w:rsidRPr="00EB3EEF">
        <w:rPr>
          <w:rFonts w:cs="Lohit Hindi"/>
          <w:bCs/>
          <w:color w:val="auto"/>
        </w:rPr>
        <w:t xml:space="preserve">approach for working with multilateral agencies (gender focused agencies or earmarked funding for other agencies) </w:t>
      </w:r>
      <w:r w:rsidR="005A5262">
        <w:rPr>
          <w:rFonts w:cs="Lohit Hindi"/>
          <w:bCs/>
          <w:color w:val="auto"/>
        </w:rPr>
        <w:t xml:space="preserve">that </w:t>
      </w:r>
      <w:r w:rsidRPr="00EB3EEF">
        <w:rPr>
          <w:rFonts w:cs="Lohit Hindi"/>
          <w:bCs/>
          <w:color w:val="auto"/>
        </w:rPr>
        <w:t xml:space="preserve">has rendered strong results, in terms of </w:t>
      </w:r>
      <w:r w:rsidR="004A538A">
        <w:rPr>
          <w:rFonts w:cs="Lohit Hindi"/>
          <w:bCs/>
          <w:color w:val="auto"/>
        </w:rPr>
        <w:t xml:space="preserve">gender equality and </w:t>
      </w:r>
      <w:r w:rsidRPr="00EB3EEF">
        <w:rPr>
          <w:rFonts w:cs="Lohit Hindi"/>
          <w:bCs/>
          <w:color w:val="auto"/>
        </w:rPr>
        <w:t>women’s empowerment</w:t>
      </w:r>
      <w:r w:rsidR="004A538A">
        <w:rPr>
          <w:rFonts w:cs="Lohit Hindi"/>
          <w:bCs/>
          <w:color w:val="auto"/>
        </w:rPr>
        <w:t>, both at HQ and field office level</w:t>
      </w:r>
      <w:r w:rsidR="005A5262">
        <w:rPr>
          <w:rFonts w:cs="Lohit Hindi"/>
          <w:bCs/>
          <w:color w:val="auto"/>
        </w:rPr>
        <w:t>:</w:t>
      </w:r>
    </w:p>
    <w:p w14:paraId="2722416B" w14:textId="4BA0CA02" w:rsidR="005A5262" w:rsidRPr="005A5262" w:rsidRDefault="005A5262" w:rsidP="004F3BB8">
      <w:pPr>
        <w:spacing w:after="120" w:line="240" w:lineRule="auto"/>
        <w:ind w:left="720" w:right="900"/>
        <w:jc w:val="both"/>
        <w:rPr>
          <w:rFonts w:cs="Lohit Hindi"/>
          <w:bCs/>
        </w:rPr>
      </w:pPr>
      <w:r w:rsidRPr="005A5262">
        <w:rPr>
          <w:rFonts w:cs="Lohit Hindi"/>
          <w:bCs/>
        </w:rPr>
        <w:t xml:space="preserve">“Iceland’s approach has focused on a clearly defined choice of multilateral agencies that either promote gender equality as their core mandate or have a clear gender equality policy. This has been the basis for Iceland ‘s screening of multilateral agencies and the main justification for their choice and selection”. </w:t>
      </w:r>
    </w:p>
    <w:p w14:paraId="0BCEF634" w14:textId="611CDDEC" w:rsidR="005A5262" w:rsidRDefault="00373326" w:rsidP="004F3BB8">
      <w:pPr>
        <w:spacing w:after="120" w:line="240" w:lineRule="auto"/>
        <w:ind w:left="720" w:right="900"/>
        <w:jc w:val="both"/>
        <w:rPr>
          <w:rFonts w:cs="Lohit Hindi"/>
          <w:bCs/>
        </w:rPr>
      </w:pPr>
      <w:r w:rsidRPr="005A5262">
        <w:rPr>
          <w:rFonts w:cs="Lohit Hindi"/>
          <w:bCs/>
        </w:rPr>
        <w:lastRenderedPageBreak/>
        <w:t xml:space="preserve"> </w:t>
      </w:r>
      <w:r w:rsidR="005A5262" w:rsidRPr="005A5262">
        <w:rPr>
          <w:rFonts w:cs="Lohit Hindi"/>
          <w:bCs/>
        </w:rPr>
        <w:t xml:space="preserve">“With other multilateral </w:t>
      </w:r>
      <w:proofErr w:type="spellStart"/>
      <w:r w:rsidR="005A5262" w:rsidRPr="005A5262">
        <w:rPr>
          <w:rFonts w:cs="Lohit Hindi"/>
          <w:bCs/>
        </w:rPr>
        <w:t>organisations</w:t>
      </w:r>
      <w:proofErr w:type="spellEnd"/>
      <w:r w:rsidR="005A5262" w:rsidRPr="005A5262">
        <w:rPr>
          <w:rFonts w:cs="Lohit Hindi"/>
          <w:bCs/>
        </w:rPr>
        <w:t xml:space="preserve"> such as World Bank, UNICEF, UNDP and UNFPA, some of which Iceland supports with core funding and earmarked funding (including country </w:t>
      </w:r>
      <w:proofErr w:type="spellStart"/>
      <w:r w:rsidR="005A5262" w:rsidRPr="005A5262">
        <w:rPr>
          <w:rFonts w:cs="Lohit Hindi"/>
          <w:bCs/>
        </w:rPr>
        <w:t>programmes</w:t>
      </w:r>
      <w:proofErr w:type="spellEnd"/>
      <w:r w:rsidR="005A5262" w:rsidRPr="005A5262">
        <w:rPr>
          <w:rFonts w:cs="Lohit Hindi"/>
          <w:bCs/>
        </w:rPr>
        <w:t xml:space="preserve"> and humanitarian aid), Iceland consistently </w:t>
      </w:r>
      <w:proofErr w:type="spellStart"/>
      <w:r w:rsidR="005A5262" w:rsidRPr="005A5262">
        <w:rPr>
          <w:rFonts w:cs="Lohit Hindi"/>
          <w:bCs/>
        </w:rPr>
        <w:t>emphasises</w:t>
      </w:r>
      <w:proofErr w:type="spellEnd"/>
      <w:r w:rsidR="005A5262" w:rsidRPr="005A5262">
        <w:rPr>
          <w:rFonts w:cs="Lohit Hindi"/>
          <w:bCs/>
        </w:rPr>
        <w:t xml:space="preserve"> the importance of implementing their gender policies and strategies at board meeting level”.</w:t>
      </w:r>
      <w:r w:rsidR="005A5262">
        <w:rPr>
          <w:rFonts w:cs="Lohit Hindi"/>
          <w:bCs/>
        </w:rPr>
        <w:t xml:space="preserve"> </w:t>
      </w:r>
    </w:p>
    <w:p w14:paraId="2EAC3343" w14:textId="789DB347" w:rsidR="005A5262" w:rsidRPr="005A5262" w:rsidRDefault="005A5262" w:rsidP="004F3BB8">
      <w:pPr>
        <w:spacing w:after="120" w:line="240" w:lineRule="auto"/>
        <w:ind w:left="720" w:right="900"/>
        <w:jc w:val="both"/>
        <w:rPr>
          <w:rFonts w:cs="Lohit Hindi"/>
          <w:bCs/>
        </w:rPr>
      </w:pPr>
      <w:r>
        <w:rPr>
          <w:rFonts w:cs="Lohit Hindi"/>
          <w:bCs/>
        </w:rPr>
        <w:t>(</w:t>
      </w:r>
      <w:r w:rsidRPr="005A5262">
        <w:rPr>
          <w:rFonts w:cs="Lohit Hindi"/>
          <w:bCs/>
        </w:rPr>
        <w:t>Evaluation of Gender Equality Policy 2013-2016 in Iceland’s International Development Cooperation developed by IPE Triple Line in 2017</w:t>
      </w:r>
      <w:r>
        <w:rPr>
          <w:rFonts w:cs="Lohit Hindi"/>
          <w:bCs/>
        </w:rPr>
        <w:t>).</w:t>
      </w:r>
    </w:p>
    <w:p w14:paraId="17BFC0C4" w14:textId="4C1AC5DC" w:rsidR="00373326" w:rsidRDefault="00373326" w:rsidP="000F68C2">
      <w:pPr>
        <w:pStyle w:val="ListParagraph"/>
        <w:numPr>
          <w:ilvl w:val="0"/>
          <w:numId w:val="14"/>
        </w:numPr>
        <w:tabs>
          <w:tab w:val="left" w:pos="360"/>
        </w:tabs>
        <w:spacing w:after="120" w:line="240" w:lineRule="auto"/>
        <w:ind w:left="360"/>
        <w:jc w:val="both"/>
        <w:rPr>
          <w:rFonts w:cs="Lohit Hindi"/>
          <w:bCs/>
          <w:color w:val="auto"/>
        </w:rPr>
      </w:pPr>
      <w:r>
        <w:rPr>
          <w:rFonts w:cs="Lohit Hindi"/>
          <w:bCs/>
          <w:color w:val="auto"/>
        </w:rPr>
        <w:t>The IAD</w:t>
      </w:r>
      <w:r w:rsidR="00D94F0F">
        <w:rPr>
          <w:rFonts w:cs="Lohit Hindi"/>
          <w:bCs/>
          <w:color w:val="auto"/>
        </w:rPr>
        <w:t>C</w:t>
      </w:r>
      <w:r>
        <w:rPr>
          <w:rFonts w:cs="Lohit Hindi"/>
          <w:bCs/>
          <w:color w:val="auto"/>
        </w:rPr>
        <w:t xml:space="preserve"> has strong </w:t>
      </w:r>
      <w:r w:rsidR="000A6C7A">
        <w:rPr>
          <w:rFonts w:cs="Lohit Hindi"/>
          <w:bCs/>
          <w:color w:val="auto"/>
        </w:rPr>
        <w:t xml:space="preserve">honest </w:t>
      </w:r>
      <w:r>
        <w:rPr>
          <w:rFonts w:cs="Lohit Hindi"/>
          <w:bCs/>
          <w:color w:val="auto"/>
        </w:rPr>
        <w:t>relationships with a diverse range of partners</w:t>
      </w:r>
      <w:r w:rsidR="000A6C7A">
        <w:rPr>
          <w:rFonts w:cs="Lohit Hindi"/>
          <w:bCs/>
          <w:color w:val="auto"/>
        </w:rPr>
        <w:t xml:space="preserve"> that generate favorable conditions for successful </w:t>
      </w:r>
      <w:proofErr w:type="spellStart"/>
      <w:r w:rsidR="000A6C7A">
        <w:rPr>
          <w:rFonts w:cs="Lohit Hindi"/>
          <w:bCs/>
          <w:color w:val="auto"/>
        </w:rPr>
        <w:t>intiatives</w:t>
      </w:r>
      <w:proofErr w:type="spellEnd"/>
      <w:r>
        <w:rPr>
          <w:rFonts w:cs="Lohit Hindi"/>
          <w:bCs/>
          <w:color w:val="auto"/>
        </w:rPr>
        <w:t>:</w:t>
      </w:r>
    </w:p>
    <w:p w14:paraId="5EBE1030" w14:textId="0321DBA4" w:rsidR="00373326" w:rsidRPr="00373326" w:rsidRDefault="00373326" w:rsidP="004F3BB8">
      <w:pPr>
        <w:spacing w:after="120" w:line="240" w:lineRule="auto"/>
        <w:ind w:left="720" w:right="900"/>
        <w:jc w:val="both"/>
        <w:rPr>
          <w:rFonts w:cs="Lohit Hindi"/>
          <w:bCs/>
        </w:rPr>
      </w:pPr>
      <w:r w:rsidRPr="00373326">
        <w:rPr>
          <w:rFonts w:cs="Lohit Hindi"/>
          <w:bCs/>
        </w:rPr>
        <w:t>“Iceland actively co-ordinates with other donors, taking advantage of its membership of the Nordic donor group and the Nordic plus group to reinforce its messages to its multilateral partners. Iceland’s strategic focus on gender equality throughout its humanitarian and development programming helps create coherence between these different instruments”.</w:t>
      </w:r>
    </w:p>
    <w:p w14:paraId="717A395C" w14:textId="77777777" w:rsidR="00373326" w:rsidRPr="00373326" w:rsidRDefault="00373326" w:rsidP="004F3BB8">
      <w:pPr>
        <w:spacing w:after="120" w:line="240" w:lineRule="auto"/>
        <w:ind w:left="720" w:right="900"/>
        <w:jc w:val="both"/>
        <w:rPr>
          <w:rFonts w:cs="Lohit Hindi"/>
          <w:bCs/>
        </w:rPr>
      </w:pPr>
      <w:r w:rsidRPr="00373326">
        <w:rPr>
          <w:rFonts w:cs="Lohit Hindi"/>
          <w:bCs/>
        </w:rPr>
        <w:t>(DAC’s main findings and recommendations. Extract from: OECD Development Co-operation Peer Reviews, Iceland 2017)</w:t>
      </w:r>
    </w:p>
    <w:p w14:paraId="0F577FE5" w14:textId="77777777" w:rsidR="000839AB" w:rsidRDefault="00373326" w:rsidP="004F3BB8">
      <w:pPr>
        <w:spacing w:after="120" w:line="240" w:lineRule="auto"/>
        <w:ind w:left="720" w:right="900"/>
        <w:jc w:val="both"/>
        <w:rPr>
          <w:rFonts w:cs="Lohit Hindi"/>
          <w:bCs/>
        </w:rPr>
      </w:pPr>
      <w:r w:rsidRPr="00373326">
        <w:rPr>
          <w:rFonts w:cs="Lohit Hindi"/>
          <w:bCs/>
        </w:rPr>
        <w:t xml:space="preserve"> “Iceland has come a long way in using a participatory approach in its development cooperation and distinguishes itself amongst donors for its ‘hands-off’ style, very much promoting full ownership at the local authority level. Such a participatory approach has been particularly praised both in Malawi and Uganda by the local authorities who feel they have a genuine partnership that allows them to fully own and further the development of their communities”.</w:t>
      </w:r>
    </w:p>
    <w:p w14:paraId="6426FEB8" w14:textId="2AD237EE" w:rsidR="00373326" w:rsidRPr="00373326" w:rsidRDefault="000839AB" w:rsidP="004F3BB8">
      <w:pPr>
        <w:spacing w:after="120" w:line="240" w:lineRule="auto"/>
        <w:ind w:left="720" w:right="900"/>
        <w:jc w:val="both"/>
        <w:rPr>
          <w:rFonts w:cs="Lohit Hindi"/>
          <w:bCs/>
        </w:rPr>
      </w:pPr>
      <w:r>
        <w:rPr>
          <w:rFonts w:cs="Lohit Hindi"/>
          <w:bCs/>
        </w:rPr>
        <w:t>(</w:t>
      </w:r>
      <w:r w:rsidR="00373326" w:rsidRPr="00373326">
        <w:rPr>
          <w:rFonts w:cs="Lohit Hindi"/>
          <w:bCs/>
        </w:rPr>
        <w:t>The Evaluation of Gender Equality Policy 2013-2016 in Iceland’s International Development Cooperation, developed by IPE Triple Line in 2017</w:t>
      </w:r>
      <w:r w:rsidR="00373326">
        <w:rPr>
          <w:rFonts w:cs="Lohit Hindi"/>
          <w:bCs/>
        </w:rPr>
        <w:t>)</w:t>
      </w:r>
    </w:p>
    <w:p w14:paraId="73CA9A9A" w14:textId="4692ACCA" w:rsidR="004A538A" w:rsidRPr="00DF37F5" w:rsidRDefault="000839AB" w:rsidP="004F3BB8">
      <w:pPr>
        <w:pStyle w:val="ListParagraph"/>
        <w:numPr>
          <w:ilvl w:val="0"/>
          <w:numId w:val="14"/>
        </w:numPr>
        <w:spacing w:after="120" w:line="240" w:lineRule="auto"/>
        <w:ind w:left="360"/>
        <w:jc w:val="both"/>
        <w:rPr>
          <w:rFonts w:cs="Lohit Hindi"/>
          <w:bCs/>
          <w:color w:val="auto"/>
        </w:rPr>
      </w:pPr>
      <w:r w:rsidRPr="00DF37F5">
        <w:rPr>
          <w:rFonts w:cs="Lohit Hindi"/>
          <w:bCs/>
          <w:color w:val="auto"/>
        </w:rPr>
        <w:t>The IAD</w:t>
      </w:r>
      <w:r w:rsidR="00D94F0F">
        <w:rPr>
          <w:rFonts w:cs="Lohit Hindi"/>
          <w:bCs/>
          <w:color w:val="auto"/>
        </w:rPr>
        <w:t>C</w:t>
      </w:r>
      <w:r w:rsidRPr="00DF37F5">
        <w:rPr>
          <w:rFonts w:cs="Lohit Hindi"/>
          <w:bCs/>
          <w:color w:val="auto"/>
        </w:rPr>
        <w:t xml:space="preserve"> </w:t>
      </w:r>
      <w:r w:rsidR="00251686" w:rsidRPr="00DF37F5">
        <w:rPr>
          <w:rFonts w:cs="Lohit Hindi"/>
          <w:bCs/>
          <w:color w:val="auto"/>
        </w:rPr>
        <w:t xml:space="preserve">needs to </w:t>
      </w:r>
      <w:r w:rsidR="004A538A" w:rsidRPr="00DF37F5">
        <w:rPr>
          <w:rFonts w:cs="Lohit Hindi"/>
          <w:bCs/>
          <w:color w:val="auto"/>
        </w:rPr>
        <w:t xml:space="preserve">present more information regarding its partnerships with </w:t>
      </w:r>
      <w:r w:rsidR="00251686" w:rsidRPr="00DF37F5">
        <w:rPr>
          <w:rFonts w:cs="Lohit Hindi"/>
          <w:bCs/>
          <w:color w:val="auto"/>
        </w:rPr>
        <w:t xml:space="preserve">UN entities and </w:t>
      </w:r>
      <w:r w:rsidR="004A538A" w:rsidRPr="00DF37F5">
        <w:rPr>
          <w:rFonts w:cs="Lohit Hindi"/>
          <w:bCs/>
          <w:color w:val="auto"/>
        </w:rPr>
        <w:t>women’s and grassroots organizations</w:t>
      </w:r>
      <w:r w:rsidR="00251686" w:rsidRPr="00DF37F5">
        <w:rPr>
          <w:rFonts w:cs="Lohit Hindi"/>
          <w:bCs/>
          <w:color w:val="auto"/>
        </w:rPr>
        <w:t xml:space="preserve"> </w:t>
      </w:r>
      <w:r w:rsidR="004A538A" w:rsidRPr="00DF37F5">
        <w:rPr>
          <w:rFonts w:cs="Lohit Hindi"/>
          <w:bCs/>
          <w:color w:val="auto"/>
        </w:rPr>
        <w:t>at the field office level.</w:t>
      </w:r>
    </w:p>
    <w:p w14:paraId="33E17F6A" w14:textId="77777777" w:rsidR="004F3BB8" w:rsidRDefault="004F3BB8" w:rsidP="004F3BB8">
      <w:pPr>
        <w:spacing w:after="120" w:line="240" w:lineRule="auto"/>
        <w:jc w:val="both"/>
        <w:rPr>
          <w:rFonts w:cs="Lohit Hindi"/>
          <w:bCs/>
          <w:color w:val="2E74B5" w:themeColor="accent1" w:themeShade="BF"/>
          <w:sz w:val="24"/>
          <w:szCs w:val="24"/>
        </w:rPr>
      </w:pPr>
    </w:p>
    <w:p w14:paraId="2F953BC9" w14:textId="6F3A8A88" w:rsidR="00831E41" w:rsidRPr="00373326" w:rsidRDefault="00831E41" w:rsidP="004F3BB8">
      <w:pPr>
        <w:spacing w:after="120" w:line="240" w:lineRule="auto"/>
        <w:jc w:val="both"/>
        <w:rPr>
          <w:rFonts w:cs="Lohit Hindi"/>
          <w:bCs/>
          <w:color w:val="2E74B5" w:themeColor="accent1" w:themeShade="BF"/>
          <w:sz w:val="24"/>
          <w:szCs w:val="24"/>
        </w:rPr>
      </w:pPr>
      <w:r w:rsidRPr="00373326">
        <w:rPr>
          <w:rFonts w:cs="Lohit Hindi"/>
          <w:bCs/>
          <w:color w:val="2E74B5" w:themeColor="accent1" w:themeShade="BF"/>
          <w:sz w:val="24"/>
          <w:szCs w:val="24"/>
        </w:rPr>
        <w:t>Results and Impact</w:t>
      </w:r>
    </w:p>
    <w:p w14:paraId="376905B3" w14:textId="65B5746E" w:rsidR="00831E41" w:rsidRDefault="00831E41" w:rsidP="004F3BB8">
      <w:pPr>
        <w:pBdr>
          <w:top w:val="single" w:sz="4" w:space="1" w:color="auto"/>
          <w:left w:val="single" w:sz="4" w:space="4" w:color="auto"/>
          <w:bottom w:val="single" w:sz="4" w:space="1" w:color="auto"/>
          <w:right w:val="single" w:sz="4" w:space="4" w:color="auto"/>
        </w:pBdr>
        <w:spacing w:after="120" w:line="240" w:lineRule="auto"/>
        <w:jc w:val="both"/>
        <w:rPr>
          <w:rFonts w:cstheme="minorHAnsi"/>
          <w:sz w:val="24"/>
          <w:szCs w:val="24"/>
          <w:lang w:val="en-GB"/>
        </w:rPr>
      </w:pPr>
      <w:r w:rsidRPr="00831E41">
        <w:rPr>
          <w:rFonts w:cstheme="minorHAnsi"/>
          <w:sz w:val="24"/>
          <w:szCs w:val="24"/>
          <w:lang w:val="en-GB"/>
        </w:rPr>
        <w:t>The outcomes of this dimension are</w:t>
      </w:r>
      <w:r w:rsidR="00B22118">
        <w:rPr>
          <w:rFonts w:cstheme="minorHAnsi"/>
          <w:sz w:val="24"/>
          <w:szCs w:val="24"/>
          <w:lang w:val="en-GB"/>
        </w:rPr>
        <w:t xml:space="preserve"> very good</w:t>
      </w:r>
      <w:r w:rsidRPr="00831E41">
        <w:rPr>
          <w:rFonts w:cstheme="minorHAnsi"/>
          <w:sz w:val="24"/>
          <w:szCs w:val="24"/>
          <w:lang w:val="en-GB"/>
        </w:rPr>
        <w:t xml:space="preserve">, as the </w:t>
      </w:r>
      <w:r>
        <w:rPr>
          <w:rFonts w:cstheme="minorHAnsi"/>
          <w:sz w:val="24"/>
          <w:szCs w:val="24"/>
          <w:lang w:val="en-GB"/>
        </w:rPr>
        <w:t>IAD</w:t>
      </w:r>
      <w:r w:rsidR="00D94F0F">
        <w:rPr>
          <w:rFonts w:cstheme="minorHAnsi"/>
          <w:sz w:val="24"/>
          <w:szCs w:val="24"/>
          <w:lang w:val="en-GB"/>
        </w:rPr>
        <w:t>C</w:t>
      </w:r>
      <w:r w:rsidRPr="00831E41">
        <w:rPr>
          <w:rFonts w:cstheme="minorHAnsi"/>
          <w:sz w:val="24"/>
          <w:szCs w:val="24"/>
          <w:lang w:val="en-GB"/>
        </w:rPr>
        <w:t xml:space="preserve"> met </w:t>
      </w:r>
      <w:r w:rsidR="00B22118">
        <w:rPr>
          <w:rFonts w:cstheme="minorHAnsi"/>
          <w:sz w:val="24"/>
          <w:szCs w:val="24"/>
          <w:lang w:val="en-GB"/>
        </w:rPr>
        <w:t>66.7</w:t>
      </w:r>
      <w:r>
        <w:rPr>
          <w:rFonts w:cstheme="minorHAnsi"/>
          <w:sz w:val="24"/>
          <w:szCs w:val="24"/>
          <w:lang w:val="en-GB"/>
        </w:rPr>
        <w:t xml:space="preserve"> per cent</w:t>
      </w:r>
      <w:r w:rsidRPr="00831E41">
        <w:rPr>
          <w:rFonts w:cstheme="minorHAnsi"/>
          <w:sz w:val="24"/>
          <w:szCs w:val="24"/>
          <w:lang w:val="en-GB"/>
        </w:rPr>
        <w:t xml:space="preserve"> of the benchmarks (</w:t>
      </w:r>
      <w:r>
        <w:rPr>
          <w:rFonts w:cstheme="minorHAnsi"/>
          <w:sz w:val="24"/>
          <w:szCs w:val="24"/>
          <w:lang w:val="en-GB"/>
        </w:rPr>
        <w:t xml:space="preserve">4 out of </w:t>
      </w:r>
      <w:r w:rsidR="00B22118">
        <w:rPr>
          <w:rFonts w:cstheme="minorHAnsi"/>
          <w:sz w:val="24"/>
          <w:szCs w:val="24"/>
          <w:lang w:val="en-GB"/>
        </w:rPr>
        <w:t>6</w:t>
      </w:r>
      <w:r w:rsidRPr="00831E41">
        <w:rPr>
          <w:rFonts w:cstheme="minorHAnsi"/>
          <w:sz w:val="24"/>
          <w:szCs w:val="24"/>
          <w:lang w:val="en-GB"/>
        </w:rPr>
        <w:t>). Of relevance are the results and impact</w:t>
      </w:r>
      <w:r>
        <w:rPr>
          <w:rFonts w:cstheme="minorHAnsi"/>
          <w:sz w:val="24"/>
          <w:szCs w:val="24"/>
          <w:lang w:val="en-GB"/>
        </w:rPr>
        <w:t xml:space="preserve"> at the individual level regarding </w:t>
      </w:r>
      <w:r w:rsidR="001713C8">
        <w:rPr>
          <w:rFonts w:cstheme="minorHAnsi"/>
          <w:sz w:val="24"/>
          <w:szCs w:val="24"/>
          <w:lang w:val="en-GB"/>
        </w:rPr>
        <w:t xml:space="preserve">issues such as </w:t>
      </w:r>
      <w:r>
        <w:rPr>
          <w:rFonts w:cstheme="minorHAnsi"/>
          <w:sz w:val="24"/>
          <w:szCs w:val="24"/>
          <w:lang w:val="en-GB"/>
        </w:rPr>
        <w:t>time saving for women and increased access to education for girls. Having said so, the Gender Seal Team identifies room to further expand the office impact at the field office level, by strengthening its alliances with partners, to address underlying causes of gender equality.</w:t>
      </w:r>
    </w:p>
    <w:p w14:paraId="59A41295" w14:textId="1BFCF789" w:rsidR="00831E41" w:rsidRDefault="004A538A" w:rsidP="004F3BB8">
      <w:pPr>
        <w:numPr>
          <w:ilvl w:val="0"/>
          <w:numId w:val="1"/>
        </w:numPr>
        <w:spacing w:after="120" w:line="240" w:lineRule="auto"/>
        <w:ind w:left="274"/>
        <w:jc w:val="both"/>
        <w:rPr>
          <w:rFonts w:cs="Lohit Hindi"/>
          <w:bCs/>
          <w:sz w:val="24"/>
          <w:szCs w:val="24"/>
        </w:rPr>
      </w:pPr>
      <w:r w:rsidRPr="004A538A">
        <w:rPr>
          <w:rFonts w:cs="Lohit Hindi"/>
          <w:bCs/>
          <w:sz w:val="24"/>
          <w:szCs w:val="24"/>
        </w:rPr>
        <w:t xml:space="preserve">The </w:t>
      </w:r>
      <w:r w:rsidR="00831E41">
        <w:rPr>
          <w:rFonts w:cs="Lohit Hindi"/>
          <w:bCs/>
          <w:sz w:val="24"/>
          <w:szCs w:val="24"/>
        </w:rPr>
        <w:t xml:space="preserve">IADC has not presented enough evidence </w:t>
      </w:r>
      <w:r w:rsidR="0005603E">
        <w:rPr>
          <w:rFonts w:cs="Lohit Hindi"/>
          <w:bCs/>
          <w:sz w:val="24"/>
          <w:szCs w:val="24"/>
        </w:rPr>
        <w:t xml:space="preserve">for the Gender Team </w:t>
      </w:r>
      <w:r w:rsidR="00831E41">
        <w:rPr>
          <w:rFonts w:cs="Lohit Hindi"/>
          <w:bCs/>
          <w:sz w:val="24"/>
          <w:szCs w:val="24"/>
        </w:rPr>
        <w:t xml:space="preserve">to understand how its reporting system works, and how the information from its different lines of cooperation (Multilateral, bilateral and humanitarian aid) comes together </w:t>
      </w:r>
      <w:r w:rsidR="00F13789">
        <w:rPr>
          <w:rFonts w:cs="Lohit Hindi"/>
          <w:bCs/>
          <w:sz w:val="24"/>
          <w:szCs w:val="24"/>
        </w:rPr>
        <w:t xml:space="preserve">in a report. </w:t>
      </w:r>
    </w:p>
    <w:p w14:paraId="38B284C6" w14:textId="25D120B5" w:rsidR="004A538A" w:rsidRPr="00DF37F5" w:rsidRDefault="00831E41" w:rsidP="004F3BB8">
      <w:pPr>
        <w:numPr>
          <w:ilvl w:val="0"/>
          <w:numId w:val="1"/>
        </w:numPr>
        <w:spacing w:after="120" w:line="240" w:lineRule="auto"/>
        <w:ind w:left="274"/>
        <w:jc w:val="both"/>
        <w:rPr>
          <w:rFonts w:cs="Lohit Hindi"/>
          <w:bCs/>
          <w:sz w:val="24"/>
          <w:szCs w:val="24"/>
        </w:rPr>
      </w:pPr>
      <w:r w:rsidRPr="00F13789">
        <w:rPr>
          <w:rFonts w:cs="Lohit Hindi"/>
          <w:bCs/>
          <w:sz w:val="24"/>
          <w:szCs w:val="24"/>
        </w:rPr>
        <w:t>T</w:t>
      </w:r>
      <w:r w:rsidR="004A538A" w:rsidRPr="004A538A">
        <w:rPr>
          <w:rFonts w:cs="Lohit Hindi"/>
          <w:bCs/>
          <w:sz w:val="24"/>
          <w:szCs w:val="24"/>
        </w:rPr>
        <w:t xml:space="preserve">he </w:t>
      </w:r>
      <w:r w:rsidRPr="00F13789">
        <w:rPr>
          <w:rFonts w:cs="Lohit Hindi"/>
          <w:bCs/>
          <w:sz w:val="24"/>
          <w:szCs w:val="24"/>
        </w:rPr>
        <w:t>IAD</w:t>
      </w:r>
      <w:r w:rsidR="00C4678C">
        <w:rPr>
          <w:rFonts w:cs="Lohit Hindi"/>
          <w:bCs/>
          <w:sz w:val="24"/>
          <w:szCs w:val="24"/>
        </w:rPr>
        <w:t>C</w:t>
      </w:r>
      <w:r w:rsidR="004A538A" w:rsidRPr="004A538A">
        <w:rPr>
          <w:rFonts w:cs="Lohit Hindi"/>
          <w:bCs/>
          <w:sz w:val="24"/>
          <w:szCs w:val="24"/>
        </w:rPr>
        <w:t xml:space="preserve"> has showed evidence of impressive results of its bilateral and multilateral cooperation, at the individual level (</w:t>
      </w:r>
      <w:r w:rsidR="0005603E">
        <w:rPr>
          <w:rFonts w:cs="Lohit Hindi"/>
          <w:bCs/>
          <w:sz w:val="24"/>
          <w:szCs w:val="24"/>
        </w:rPr>
        <w:t xml:space="preserve">E.g.: political participation of women, access to sexual and reproductive services, prevention of GBV, </w:t>
      </w:r>
      <w:r w:rsidR="004A538A" w:rsidRPr="004A538A">
        <w:rPr>
          <w:rFonts w:cs="Lohit Hindi"/>
          <w:bCs/>
          <w:sz w:val="24"/>
          <w:szCs w:val="24"/>
        </w:rPr>
        <w:t xml:space="preserve">time saving for women, </w:t>
      </w:r>
      <w:r w:rsidR="0005603E">
        <w:rPr>
          <w:rFonts w:cs="Lohit Hindi"/>
          <w:bCs/>
          <w:sz w:val="24"/>
          <w:szCs w:val="24"/>
        </w:rPr>
        <w:t xml:space="preserve">and </w:t>
      </w:r>
      <w:r w:rsidR="004A538A" w:rsidRPr="004A538A">
        <w:rPr>
          <w:rFonts w:cs="Lohit Hindi"/>
          <w:bCs/>
          <w:sz w:val="24"/>
          <w:szCs w:val="24"/>
        </w:rPr>
        <w:t>increased access to education for girls)</w:t>
      </w:r>
      <w:r w:rsidR="00F13789" w:rsidRPr="00F13789">
        <w:rPr>
          <w:rFonts w:cs="Lohit Hindi"/>
          <w:bCs/>
          <w:sz w:val="24"/>
          <w:szCs w:val="24"/>
        </w:rPr>
        <w:t xml:space="preserve">.  However, </w:t>
      </w:r>
      <w:r w:rsidR="004A538A" w:rsidRPr="004A538A">
        <w:rPr>
          <w:rFonts w:cs="Lohit Hindi"/>
          <w:bCs/>
          <w:sz w:val="24"/>
          <w:szCs w:val="24"/>
        </w:rPr>
        <w:t xml:space="preserve">these results will not be upscaled or sustained, unless certain underlying causes are addressed in a </w:t>
      </w:r>
      <w:r w:rsidR="004A538A" w:rsidRPr="00DF37F5">
        <w:rPr>
          <w:rFonts w:cs="Lohit Hindi"/>
          <w:bCs/>
          <w:sz w:val="24"/>
          <w:szCs w:val="24"/>
        </w:rPr>
        <w:t>more systemic way, together with other partners.</w:t>
      </w:r>
    </w:p>
    <w:p w14:paraId="296134E6" w14:textId="57BFCF75" w:rsidR="00F13789" w:rsidRPr="00DF37F5" w:rsidRDefault="00F13789" w:rsidP="004F3BB8">
      <w:pPr>
        <w:pStyle w:val="ListParagraph"/>
        <w:numPr>
          <w:ilvl w:val="0"/>
          <w:numId w:val="1"/>
        </w:numPr>
        <w:spacing w:after="120" w:line="240" w:lineRule="auto"/>
        <w:ind w:left="274"/>
        <w:jc w:val="both"/>
        <w:rPr>
          <w:rFonts w:cs="Lohit Hindi"/>
          <w:bCs/>
          <w:color w:val="auto"/>
        </w:rPr>
      </w:pPr>
      <w:r w:rsidRPr="00DF37F5">
        <w:rPr>
          <w:rFonts w:cs="Lohit Hindi"/>
          <w:bCs/>
          <w:color w:val="auto"/>
        </w:rPr>
        <w:t>The IAD</w:t>
      </w:r>
      <w:r w:rsidR="00C4678C">
        <w:rPr>
          <w:rFonts w:cs="Lohit Hindi"/>
          <w:bCs/>
          <w:color w:val="auto"/>
        </w:rPr>
        <w:t>C</w:t>
      </w:r>
      <w:r w:rsidRPr="00DF37F5">
        <w:rPr>
          <w:rFonts w:cs="Lohit Hindi"/>
          <w:bCs/>
          <w:color w:val="auto"/>
        </w:rPr>
        <w:t xml:space="preserve"> has actively supported advocacy on gender issues both at </w:t>
      </w:r>
      <w:r w:rsidR="0005603E" w:rsidRPr="00DF37F5">
        <w:rPr>
          <w:rFonts w:cs="Lohit Hindi"/>
          <w:bCs/>
          <w:color w:val="auto"/>
        </w:rPr>
        <w:t xml:space="preserve">HQ </w:t>
      </w:r>
      <w:r w:rsidRPr="00DF37F5">
        <w:rPr>
          <w:rFonts w:cs="Lohit Hindi"/>
          <w:bCs/>
          <w:color w:val="auto"/>
        </w:rPr>
        <w:t xml:space="preserve">and </w:t>
      </w:r>
      <w:r w:rsidR="0005603E" w:rsidRPr="00DF37F5">
        <w:rPr>
          <w:rFonts w:cs="Lohit Hindi"/>
          <w:bCs/>
          <w:color w:val="auto"/>
        </w:rPr>
        <w:t>field office level</w:t>
      </w:r>
      <w:r w:rsidRPr="00DF37F5">
        <w:rPr>
          <w:rFonts w:cs="Lohit Hindi"/>
          <w:bCs/>
          <w:color w:val="auto"/>
        </w:rPr>
        <w:t xml:space="preserve">.  The campaigns regarding equal pay, participation of men and boys to promote gender equality and </w:t>
      </w:r>
      <w:r w:rsidRPr="00DF37F5">
        <w:rPr>
          <w:rFonts w:cs="Lohit Hindi"/>
          <w:bCs/>
          <w:color w:val="auto"/>
        </w:rPr>
        <w:lastRenderedPageBreak/>
        <w:t xml:space="preserve">women’s political participation and representation, have included UN Agencies, other </w:t>
      </w:r>
      <w:proofErr w:type="gramStart"/>
      <w:r w:rsidRPr="00DF37F5">
        <w:rPr>
          <w:rFonts w:cs="Lohit Hindi"/>
          <w:bCs/>
          <w:color w:val="auto"/>
        </w:rPr>
        <w:t>governments</w:t>
      </w:r>
      <w:proofErr w:type="gramEnd"/>
      <w:r w:rsidRPr="00DF37F5">
        <w:rPr>
          <w:rFonts w:cs="Lohit Hindi"/>
          <w:bCs/>
          <w:color w:val="auto"/>
        </w:rPr>
        <w:t xml:space="preserve"> and NGOs.</w:t>
      </w:r>
      <w:r w:rsidR="008B3F40" w:rsidRPr="00DF37F5">
        <w:rPr>
          <w:rFonts w:cs="Lohit Hindi"/>
          <w:bCs/>
          <w:color w:val="auto"/>
        </w:rPr>
        <w:t xml:space="preserve"> Evidence needs to be presented to demonstrate this across both field offices.</w:t>
      </w:r>
    </w:p>
    <w:p w14:paraId="1493B0C5" w14:textId="77777777" w:rsidR="004A538A" w:rsidRPr="004A538A" w:rsidRDefault="004A538A" w:rsidP="004F3BB8">
      <w:pPr>
        <w:numPr>
          <w:ilvl w:val="0"/>
          <w:numId w:val="1"/>
        </w:numPr>
        <w:spacing w:after="120" w:line="240" w:lineRule="auto"/>
        <w:ind w:left="274"/>
        <w:jc w:val="both"/>
        <w:rPr>
          <w:rFonts w:cs="Lohit Hindi"/>
          <w:bCs/>
          <w:sz w:val="24"/>
          <w:szCs w:val="24"/>
        </w:rPr>
      </w:pPr>
      <w:r w:rsidRPr="004A538A">
        <w:rPr>
          <w:rFonts w:cs="Lohit Hindi"/>
          <w:bCs/>
          <w:sz w:val="24"/>
          <w:szCs w:val="24"/>
        </w:rPr>
        <w:t>The organization needs to make sure that gender equality issues and women’s voices and work, are recognized and highlighted in every event it organizes/attends (I.e. “Parity pledge”).</w:t>
      </w:r>
    </w:p>
    <w:p w14:paraId="421DDCBA" w14:textId="77777777" w:rsidR="003078B4" w:rsidRPr="003078B4" w:rsidRDefault="003078B4" w:rsidP="004F3BB8">
      <w:pPr>
        <w:spacing w:after="120" w:line="240" w:lineRule="auto"/>
        <w:jc w:val="both"/>
        <w:rPr>
          <w:rFonts w:cs="Lohit Hindi"/>
          <w:bCs/>
          <w:sz w:val="24"/>
          <w:szCs w:val="24"/>
        </w:rPr>
      </w:pPr>
    </w:p>
    <w:p w14:paraId="61FEBCF0" w14:textId="1A03DDAE" w:rsidR="00CE510B" w:rsidRDefault="00CE510B" w:rsidP="004F3BB8">
      <w:pPr>
        <w:pStyle w:val="ListParagraph"/>
        <w:numPr>
          <w:ilvl w:val="0"/>
          <w:numId w:val="7"/>
        </w:numPr>
        <w:spacing w:after="120" w:line="240" w:lineRule="auto"/>
        <w:ind w:left="360"/>
        <w:jc w:val="both"/>
        <w:rPr>
          <w:rFonts w:cs="Lohit Hindi"/>
          <w:bCs/>
          <w:color w:val="2E74B5" w:themeColor="accent1" w:themeShade="BF"/>
          <w:sz w:val="28"/>
          <w:szCs w:val="28"/>
        </w:rPr>
      </w:pPr>
      <w:r w:rsidRPr="003078B4">
        <w:rPr>
          <w:rFonts w:cs="Lohit Hindi"/>
          <w:bCs/>
          <w:color w:val="2E74B5" w:themeColor="accent1" w:themeShade="BF"/>
          <w:sz w:val="28"/>
          <w:szCs w:val="28"/>
        </w:rPr>
        <w:t>Good and innovative practices.</w:t>
      </w:r>
    </w:p>
    <w:p w14:paraId="215C2472" w14:textId="53DFC918" w:rsidR="0005603E" w:rsidRPr="005A5262" w:rsidRDefault="0005603E" w:rsidP="004F3BB8">
      <w:pPr>
        <w:spacing w:after="120" w:line="240" w:lineRule="auto"/>
        <w:jc w:val="both"/>
        <w:rPr>
          <w:rFonts w:cs="Lohit Hindi"/>
          <w:bCs/>
          <w:sz w:val="24"/>
          <w:szCs w:val="24"/>
        </w:rPr>
      </w:pPr>
      <w:r w:rsidRPr="005A5262">
        <w:rPr>
          <w:rFonts w:cs="Lohit Hindi"/>
          <w:bCs/>
          <w:sz w:val="24"/>
          <w:szCs w:val="24"/>
        </w:rPr>
        <w:t>The Gender Team has identified several initiatives/practices that “stand out” for being powerful drivers of change</w:t>
      </w:r>
      <w:r w:rsidR="000839AB">
        <w:rPr>
          <w:rFonts w:cs="Lohit Hindi"/>
          <w:bCs/>
          <w:sz w:val="24"/>
          <w:szCs w:val="24"/>
        </w:rPr>
        <w:t>/results</w:t>
      </w:r>
      <w:r w:rsidR="005A5262" w:rsidRPr="005A5262">
        <w:rPr>
          <w:rFonts w:cs="Lohit Hindi"/>
          <w:bCs/>
          <w:sz w:val="24"/>
          <w:szCs w:val="24"/>
        </w:rPr>
        <w:t xml:space="preserve"> within the organization.  These practices include:</w:t>
      </w:r>
    </w:p>
    <w:p w14:paraId="44716D6A" w14:textId="7DD41DBB" w:rsidR="00001ADF" w:rsidRPr="003078B4" w:rsidRDefault="00373326" w:rsidP="004F3BB8">
      <w:pPr>
        <w:pStyle w:val="ListParagraph"/>
        <w:numPr>
          <w:ilvl w:val="0"/>
          <w:numId w:val="8"/>
        </w:numPr>
        <w:spacing w:after="120" w:line="240" w:lineRule="auto"/>
        <w:ind w:left="360"/>
        <w:jc w:val="both"/>
        <w:rPr>
          <w:rFonts w:cs="Lohit Hindi"/>
          <w:bCs/>
          <w:color w:val="auto"/>
        </w:rPr>
      </w:pPr>
      <w:r>
        <w:rPr>
          <w:rFonts w:cs="Lohit Hindi"/>
          <w:bCs/>
          <w:color w:val="auto"/>
        </w:rPr>
        <w:t>A s</w:t>
      </w:r>
      <w:r w:rsidR="00001ADF" w:rsidRPr="003078B4">
        <w:rPr>
          <w:rFonts w:cs="Lohit Hindi"/>
          <w:bCs/>
          <w:color w:val="auto"/>
        </w:rPr>
        <w:t>trong national legal framework of mandatory implementation for all governmental institutions (Equality Act, Equal Pay Policy and Certification</w:t>
      </w:r>
      <w:proofErr w:type="gramStart"/>
      <w:r w:rsidR="00001ADF" w:rsidRPr="003078B4">
        <w:rPr>
          <w:rFonts w:cs="Lohit Hindi"/>
          <w:bCs/>
          <w:color w:val="auto"/>
        </w:rPr>
        <w:t>)</w:t>
      </w:r>
      <w:r>
        <w:rPr>
          <w:rFonts w:cs="Lohit Hindi"/>
          <w:bCs/>
          <w:color w:val="auto"/>
        </w:rPr>
        <w:t>;</w:t>
      </w:r>
      <w:proofErr w:type="gramEnd"/>
    </w:p>
    <w:p w14:paraId="4E7F60BC" w14:textId="7A59DCA3" w:rsidR="00001ADF" w:rsidRDefault="00373326" w:rsidP="004F3BB8">
      <w:pPr>
        <w:pStyle w:val="ListParagraph"/>
        <w:numPr>
          <w:ilvl w:val="0"/>
          <w:numId w:val="8"/>
        </w:numPr>
        <w:spacing w:after="120" w:line="240" w:lineRule="auto"/>
        <w:ind w:left="360"/>
        <w:jc w:val="both"/>
        <w:rPr>
          <w:rFonts w:cs="Lohit Hindi"/>
          <w:bCs/>
          <w:color w:val="auto"/>
        </w:rPr>
      </w:pPr>
      <w:r>
        <w:rPr>
          <w:rFonts w:cs="Lohit Hindi"/>
          <w:bCs/>
          <w:color w:val="auto"/>
        </w:rPr>
        <w:t>A v</w:t>
      </w:r>
      <w:r w:rsidR="00001ADF" w:rsidRPr="003078B4">
        <w:rPr>
          <w:rFonts w:cs="Lohit Hindi"/>
          <w:bCs/>
          <w:color w:val="auto"/>
        </w:rPr>
        <w:t xml:space="preserve">ery high percentage of ODA </w:t>
      </w:r>
      <w:r w:rsidR="005A5262">
        <w:rPr>
          <w:rFonts w:cs="Lohit Hindi"/>
          <w:bCs/>
          <w:color w:val="auto"/>
        </w:rPr>
        <w:t xml:space="preserve">(85%) </w:t>
      </w:r>
      <w:r w:rsidR="00001ADF" w:rsidRPr="003078B4">
        <w:rPr>
          <w:rFonts w:cs="Lohit Hindi"/>
          <w:bCs/>
          <w:color w:val="auto"/>
        </w:rPr>
        <w:t xml:space="preserve">that contributes to gender equality in a significant </w:t>
      </w:r>
      <w:proofErr w:type="gramStart"/>
      <w:r w:rsidR="00001ADF" w:rsidRPr="003078B4">
        <w:rPr>
          <w:rFonts w:cs="Lohit Hindi"/>
          <w:bCs/>
          <w:color w:val="auto"/>
        </w:rPr>
        <w:t>way</w:t>
      </w:r>
      <w:r>
        <w:rPr>
          <w:rFonts w:cs="Lohit Hindi"/>
          <w:bCs/>
          <w:color w:val="auto"/>
        </w:rPr>
        <w:t>;</w:t>
      </w:r>
      <w:proofErr w:type="gramEnd"/>
    </w:p>
    <w:p w14:paraId="1E65430F" w14:textId="534E39E4" w:rsidR="005A5262" w:rsidRPr="00373326" w:rsidRDefault="005A5262" w:rsidP="004F3BB8">
      <w:pPr>
        <w:pStyle w:val="ListParagraph"/>
        <w:numPr>
          <w:ilvl w:val="0"/>
          <w:numId w:val="8"/>
        </w:numPr>
        <w:spacing w:after="120" w:line="240" w:lineRule="auto"/>
        <w:ind w:left="360"/>
        <w:jc w:val="both"/>
        <w:rPr>
          <w:rFonts w:cs="Lohit Hindi"/>
          <w:bCs/>
          <w:color w:val="auto"/>
        </w:rPr>
      </w:pPr>
      <w:r w:rsidRPr="00373326">
        <w:rPr>
          <w:rFonts w:cs="Lohit Hindi"/>
          <w:bCs/>
          <w:color w:val="auto"/>
        </w:rPr>
        <w:t xml:space="preserve">Gender </w:t>
      </w:r>
      <w:r w:rsidR="00373326">
        <w:rPr>
          <w:rFonts w:cs="Lohit Hindi"/>
          <w:bCs/>
          <w:color w:val="auto"/>
        </w:rPr>
        <w:t>mandate/expertise</w:t>
      </w:r>
      <w:r w:rsidRPr="00373326">
        <w:rPr>
          <w:rFonts w:cs="Lohit Hindi"/>
          <w:bCs/>
          <w:color w:val="auto"/>
        </w:rPr>
        <w:t xml:space="preserve"> as </w:t>
      </w:r>
      <w:r w:rsidR="00373326" w:rsidRPr="00373326">
        <w:rPr>
          <w:rFonts w:cs="Lohit Hindi"/>
          <w:bCs/>
          <w:color w:val="auto"/>
        </w:rPr>
        <w:t>main</w:t>
      </w:r>
      <w:r w:rsidRPr="00373326">
        <w:rPr>
          <w:rFonts w:cs="Lohit Hindi"/>
          <w:bCs/>
          <w:color w:val="auto"/>
        </w:rPr>
        <w:t xml:space="preserve"> criterion to choose partners in multilateral </w:t>
      </w:r>
      <w:proofErr w:type="gramStart"/>
      <w:r w:rsidRPr="00373326">
        <w:rPr>
          <w:rFonts w:cs="Lohit Hindi"/>
          <w:bCs/>
          <w:color w:val="auto"/>
        </w:rPr>
        <w:t>cooperation</w:t>
      </w:r>
      <w:r w:rsidR="00373326">
        <w:rPr>
          <w:rFonts w:cs="Lohit Hindi"/>
          <w:bCs/>
          <w:color w:val="auto"/>
        </w:rPr>
        <w:t>;</w:t>
      </w:r>
      <w:proofErr w:type="gramEnd"/>
    </w:p>
    <w:p w14:paraId="684B0F78" w14:textId="124ACECD" w:rsidR="005A5262" w:rsidRPr="00373326" w:rsidRDefault="00373326" w:rsidP="004F3BB8">
      <w:pPr>
        <w:pStyle w:val="ListParagraph"/>
        <w:numPr>
          <w:ilvl w:val="0"/>
          <w:numId w:val="8"/>
        </w:numPr>
        <w:spacing w:after="120" w:line="240" w:lineRule="auto"/>
        <w:ind w:left="360"/>
        <w:jc w:val="both"/>
        <w:rPr>
          <w:rFonts w:cs="Lohit Hindi"/>
          <w:bCs/>
          <w:color w:val="auto"/>
        </w:rPr>
      </w:pPr>
      <w:r>
        <w:rPr>
          <w:rFonts w:cs="Lohit Hindi"/>
          <w:bCs/>
          <w:color w:val="auto"/>
        </w:rPr>
        <w:t>A s</w:t>
      </w:r>
      <w:r w:rsidRPr="00373326">
        <w:rPr>
          <w:rFonts w:cs="Lohit Hindi"/>
          <w:bCs/>
          <w:color w:val="auto"/>
        </w:rPr>
        <w:t>trategic collaboration with a news outlet (</w:t>
      </w:r>
      <w:proofErr w:type="spellStart"/>
      <w:r w:rsidRPr="00373326">
        <w:rPr>
          <w:rFonts w:cs="Lohit Hindi"/>
          <w:bCs/>
          <w:color w:val="auto"/>
        </w:rPr>
        <w:t>Vísir</w:t>
      </w:r>
      <w:proofErr w:type="spellEnd"/>
      <w:r w:rsidRPr="00373326">
        <w:rPr>
          <w:rFonts w:cs="Lohit Hindi"/>
          <w:bCs/>
          <w:color w:val="auto"/>
        </w:rPr>
        <w:t xml:space="preserve">) that </w:t>
      </w:r>
      <w:r w:rsidR="000839AB">
        <w:rPr>
          <w:rFonts w:cs="Lohit Hindi"/>
          <w:bCs/>
          <w:color w:val="auto"/>
        </w:rPr>
        <w:t xml:space="preserve">guarantees </w:t>
      </w:r>
      <w:r w:rsidRPr="00373326">
        <w:rPr>
          <w:rFonts w:cs="Lohit Hindi"/>
          <w:bCs/>
          <w:color w:val="auto"/>
        </w:rPr>
        <w:t xml:space="preserve">visibility of the organization’s work on gender equality and women’s </w:t>
      </w:r>
      <w:proofErr w:type="gramStart"/>
      <w:r w:rsidRPr="00373326">
        <w:rPr>
          <w:rFonts w:cs="Lohit Hindi"/>
          <w:bCs/>
          <w:color w:val="auto"/>
        </w:rPr>
        <w:t>rights</w:t>
      </w:r>
      <w:r>
        <w:rPr>
          <w:rFonts w:cs="Lohit Hindi"/>
          <w:bCs/>
          <w:color w:val="auto"/>
        </w:rPr>
        <w:t>;</w:t>
      </w:r>
      <w:proofErr w:type="gramEnd"/>
    </w:p>
    <w:p w14:paraId="7F35A045" w14:textId="59C5E99D" w:rsidR="00001ADF" w:rsidRDefault="00001ADF" w:rsidP="004F3BB8">
      <w:pPr>
        <w:pStyle w:val="ListParagraph"/>
        <w:numPr>
          <w:ilvl w:val="0"/>
          <w:numId w:val="8"/>
        </w:numPr>
        <w:spacing w:after="120" w:line="240" w:lineRule="auto"/>
        <w:ind w:left="360"/>
        <w:jc w:val="both"/>
        <w:rPr>
          <w:rFonts w:cs="Lohit Hindi"/>
          <w:bCs/>
          <w:color w:val="auto"/>
        </w:rPr>
      </w:pPr>
      <w:r w:rsidRPr="00373326">
        <w:rPr>
          <w:rFonts w:cs="Lohit Hindi"/>
          <w:bCs/>
          <w:color w:val="auto"/>
        </w:rPr>
        <w:t xml:space="preserve">Strong </w:t>
      </w:r>
      <w:r w:rsidR="00373326" w:rsidRPr="00373326">
        <w:rPr>
          <w:rFonts w:cs="Lohit Hindi"/>
          <w:bCs/>
          <w:color w:val="auto"/>
        </w:rPr>
        <w:t xml:space="preserve">and honest </w:t>
      </w:r>
      <w:r w:rsidRPr="00373326">
        <w:rPr>
          <w:rFonts w:cs="Lohit Hindi"/>
          <w:bCs/>
          <w:color w:val="auto"/>
        </w:rPr>
        <w:t xml:space="preserve">partnerships with donors, </w:t>
      </w:r>
      <w:proofErr w:type="gramStart"/>
      <w:r w:rsidRPr="00373326">
        <w:rPr>
          <w:rFonts w:cs="Lohit Hindi"/>
          <w:bCs/>
          <w:color w:val="auto"/>
        </w:rPr>
        <w:t>governments</w:t>
      </w:r>
      <w:proofErr w:type="gramEnd"/>
      <w:r w:rsidRPr="00373326">
        <w:rPr>
          <w:rFonts w:cs="Lohit Hindi"/>
          <w:bCs/>
          <w:color w:val="auto"/>
        </w:rPr>
        <w:t xml:space="preserve"> and NGOs</w:t>
      </w:r>
      <w:r w:rsidR="00373326" w:rsidRPr="00373326">
        <w:rPr>
          <w:rFonts w:cs="Lohit Hindi"/>
          <w:bCs/>
          <w:color w:val="auto"/>
        </w:rPr>
        <w:t>.</w:t>
      </w:r>
    </w:p>
    <w:p w14:paraId="18A022B9" w14:textId="36B259D4" w:rsidR="00F0147B" w:rsidRDefault="00F0147B" w:rsidP="004F3BB8">
      <w:pPr>
        <w:pStyle w:val="ListParagraph"/>
        <w:numPr>
          <w:ilvl w:val="0"/>
          <w:numId w:val="8"/>
        </w:numPr>
        <w:spacing w:after="120" w:line="240" w:lineRule="auto"/>
        <w:ind w:left="360"/>
        <w:jc w:val="both"/>
        <w:rPr>
          <w:rFonts w:cs="Lohit Hindi"/>
          <w:bCs/>
          <w:color w:val="auto"/>
        </w:rPr>
      </w:pPr>
      <w:r>
        <w:rPr>
          <w:rFonts w:cs="Lohit Hindi"/>
          <w:bCs/>
          <w:color w:val="auto"/>
        </w:rPr>
        <w:t xml:space="preserve">High equality external evaluations of policies and </w:t>
      </w:r>
      <w:proofErr w:type="spellStart"/>
      <w:r>
        <w:rPr>
          <w:rFonts w:cs="Lohit Hindi"/>
          <w:bCs/>
          <w:color w:val="auto"/>
        </w:rPr>
        <w:t>programmes</w:t>
      </w:r>
      <w:proofErr w:type="spellEnd"/>
      <w:r>
        <w:rPr>
          <w:rFonts w:cs="Lohit Hindi"/>
          <w:bCs/>
          <w:color w:val="auto"/>
        </w:rPr>
        <w:t xml:space="preserve"> that clearly reflect results and challenges.</w:t>
      </w:r>
    </w:p>
    <w:p w14:paraId="2044DEA0" w14:textId="1B59224C" w:rsidR="000839AB" w:rsidRPr="000839AB" w:rsidRDefault="000839AB" w:rsidP="004F3BB8">
      <w:pPr>
        <w:spacing w:after="120" w:line="240" w:lineRule="auto"/>
        <w:jc w:val="both"/>
        <w:rPr>
          <w:rFonts w:cs="Lohit Hindi"/>
          <w:bCs/>
          <w:sz w:val="24"/>
          <w:szCs w:val="24"/>
        </w:rPr>
      </w:pPr>
      <w:r w:rsidRPr="000839AB">
        <w:rPr>
          <w:rFonts w:cs="Lohit Hindi"/>
          <w:bCs/>
          <w:sz w:val="24"/>
          <w:szCs w:val="24"/>
        </w:rPr>
        <w:t>The Gender Seal Team recommends that these good and innovative practices are sustained and expanded in the future.</w:t>
      </w:r>
    </w:p>
    <w:p w14:paraId="66C901D7" w14:textId="77777777" w:rsidR="00373326" w:rsidRPr="00373326" w:rsidRDefault="00373326" w:rsidP="004F3BB8">
      <w:pPr>
        <w:pStyle w:val="ListParagraph"/>
        <w:spacing w:after="120" w:line="240" w:lineRule="auto"/>
        <w:ind w:left="360"/>
        <w:jc w:val="both"/>
        <w:rPr>
          <w:rFonts w:cs="Lohit Hindi"/>
          <w:bCs/>
        </w:rPr>
      </w:pPr>
    </w:p>
    <w:p w14:paraId="04A3213A" w14:textId="04C1BC81" w:rsidR="00CE510B" w:rsidRDefault="00CE510B" w:rsidP="004F3BB8">
      <w:pPr>
        <w:pStyle w:val="ListParagraph"/>
        <w:numPr>
          <w:ilvl w:val="0"/>
          <w:numId w:val="7"/>
        </w:numPr>
        <w:spacing w:after="120" w:line="240" w:lineRule="auto"/>
        <w:ind w:left="360"/>
        <w:jc w:val="both"/>
        <w:rPr>
          <w:rFonts w:cs="Lohit Hindi"/>
          <w:bCs/>
          <w:color w:val="2E74B5" w:themeColor="accent1" w:themeShade="BF"/>
          <w:sz w:val="28"/>
          <w:szCs w:val="28"/>
        </w:rPr>
      </w:pPr>
      <w:r w:rsidRPr="00CE510B">
        <w:rPr>
          <w:rFonts w:cs="Lohit Hindi"/>
          <w:bCs/>
          <w:color w:val="2E74B5" w:themeColor="accent1" w:themeShade="BF"/>
          <w:sz w:val="28"/>
          <w:szCs w:val="28"/>
        </w:rPr>
        <w:t>Recommendations</w:t>
      </w:r>
      <w:r>
        <w:rPr>
          <w:rFonts w:cs="Lohit Hindi"/>
          <w:bCs/>
          <w:color w:val="2E74B5" w:themeColor="accent1" w:themeShade="BF"/>
          <w:sz w:val="28"/>
          <w:szCs w:val="28"/>
        </w:rPr>
        <w:t>.</w:t>
      </w:r>
    </w:p>
    <w:p w14:paraId="17695BC2" w14:textId="21428FCE" w:rsidR="003078B4" w:rsidRDefault="003078B4" w:rsidP="004F3BB8">
      <w:pPr>
        <w:spacing w:after="120" w:line="240" w:lineRule="auto"/>
        <w:jc w:val="both"/>
        <w:rPr>
          <w:rFonts w:cs="Lohit Hindi"/>
          <w:bCs/>
          <w:sz w:val="24"/>
          <w:szCs w:val="24"/>
        </w:rPr>
      </w:pPr>
      <w:r w:rsidRPr="003078B4">
        <w:rPr>
          <w:rFonts w:cs="Lohit Hindi"/>
          <w:bCs/>
          <w:sz w:val="24"/>
          <w:szCs w:val="24"/>
        </w:rPr>
        <w:t>The Gender Equality Seal team would like to offer some suggestions that may be of use to the IADC as it seeks to move ahead with gender mainstreaming and strengthen its overall impact on gender equality</w:t>
      </w:r>
      <w:r w:rsidR="00A32B53">
        <w:rPr>
          <w:rFonts w:cs="Lohit Hindi"/>
          <w:bCs/>
          <w:sz w:val="24"/>
          <w:szCs w:val="24"/>
        </w:rPr>
        <w:t>:</w:t>
      </w:r>
    </w:p>
    <w:p w14:paraId="355644F6" w14:textId="77777777" w:rsidR="00A32B53" w:rsidRDefault="00A32B53" w:rsidP="004F3BB8">
      <w:pPr>
        <w:spacing w:after="120" w:line="240" w:lineRule="auto"/>
        <w:jc w:val="both"/>
        <w:rPr>
          <w:rFonts w:cs="Lohit Hindi"/>
          <w:bCs/>
          <w:sz w:val="24"/>
          <w:szCs w:val="24"/>
        </w:rPr>
      </w:pPr>
    </w:p>
    <w:p w14:paraId="7FD4DBC3" w14:textId="2E85357F" w:rsidR="00A32B53" w:rsidRPr="00FD02E3" w:rsidRDefault="00A32B53" w:rsidP="00A32B53">
      <w:pPr>
        <w:pStyle w:val="ListParagraph"/>
        <w:numPr>
          <w:ilvl w:val="0"/>
          <w:numId w:val="15"/>
        </w:numPr>
        <w:spacing w:after="120" w:line="240" w:lineRule="auto"/>
        <w:ind w:left="360"/>
        <w:jc w:val="both"/>
        <w:rPr>
          <w:rFonts w:cs="Lohit Hindi"/>
          <w:bCs/>
          <w:i/>
          <w:iCs/>
        </w:rPr>
      </w:pPr>
      <w:r w:rsidRPr="00FD02E3">
        <w:rPr>
          <w:rFonts w:cs="Lohit Hindi"/>
          <w:bCs/>
          <w:i/>
          <w:iCs/>
        </w:rPr>
        <w:t>Moving forward: Leading a new scenario for a gender-transformative agenda.</w:t>
      </w:r>
    </w:p>
    <w:p w14:paraId="6F148BC5" w14:textId="07187E6B" w:rsidR="000F68C2" w:rsidRDefault="00A32B53" w:rsidP="00A32B53">
      <w:pPr>
        <w:spacing w:after="120" w:line="240" w:lineRule="auto"/>
        <w:jc w:val="both"/>
        <w:rPr>
          <w:rFonts w:cs="Lohit Hindi"/>
          <w:bCs/>
          <w:sz w:val="24"/>
          <w:szCs w:val="24"/>
        </w:rPr>
      </w:pPr>
      <w:r w:rsidRPr="00A32B53">
        <w:rPr>
          <w:rFonts w:cs="Lohit Hindi"/>
          <w:bCs/>
          <w:sz w:val="24"/>
          <w:szCs w:val="24"/>
        </w:rPr>
        <w:t xml:space="preserve">Senior management’s </w:t>
      </w:r>
      <w:r>
        <w:rPr>
          <w:rFonts w:cs="Lohit Hindi"/>
          <w:bCs/>
          <w:sz w:val="24"/>
          <w:szCs w:val="24"/>
        </w:rPr>
        <w:t>current</w:t>
      </w:r>
      <w:r w:rsidRPr="00A32B53">
        <w:rPr>
          <w:rFonts w:cs="Lohit Hindi"/>
          <w:bCs/>
          <w:sz w:val="24"/>
          <w:szCs w:val="24"/>
        </w:rPr>
        <w:t xml:space="preserve"> commitment and leadership on gender equality should be kept and well visible, as it has been </w:t>
      </w:r>
      <w:proofErr w:type="gramStart"/>
      <w:r w:rsidRPr="00A32B53">
        <w:rPr>
          <w:rFonts w:cs="Lohit Hindi"/>
          <w:bCs/>
          <w:sz w:val="24"/>
          <w:szCs w:val="24"/>
        </w:rPr>
        <w:t>key</w:t>
      </w:r>
      <w:proofErr w:type="gramEnd"/>
      <w:r w:rsidRPr="00A32B53">
        <w:rPr>
          <w:rFonts w:cs="Lohit Hindi"/>
          <w:bCs/>
          <w:sz w:val="24"/>
          <w:szCs w:val="24"/>
        </w:rPr>
        <w:t xml:space="preserve"> so far to the advances achieved on gender equality. </w:t>
      </w:r>
      <w:r w:rsidR="000F68C2">
        <w:rPr>
          <w:rFonts w:cs="Lohit Hindi"/>
          <w:bCs/>
          <w:sz w:val="24"/>
          <w:szCs w:val="24"/>
        </w:rPr>
        <w:t>Moving forward, this leadership should be expressed in the implementation of the following recommendations:</w:t>
      </w:r>
    </w:p>
    <w:p w14:paraId="1867AFAE" w14:textId="5EDFEE9E" w:rsidR="000F68C2" w:rsidRPr="00FD02E3" w:rsidRDefault="000F68C2" w:rsidP="000F68C2">
      <w:pPr>
        <w:pStyle w:val="ListParagraph"/>
        <w:numPr>
          <w:ilvl w:val="0"/>
          <w:numId w:val="18"/>
        </w:numPr>
        <w:spacing w:after="120" w:line="240" w:lineRule="auto"/>
        <w:jc w:val="both"/>
        <w:rPr>
          <w:rFonts w:cs="Lohit Hindi"/>
          <w:color w:val="auto"/>
        </w:rPr>
      </w:pPr>
      <w:bookmarkStart w:id="2" w:name="_Hlk48489378"/>
      <w:r w:rsidRPr="00FD02E3">
        <w:rPr>
          <w:rFonts w:cs="Lohit Hindi"/>
          <w:b/>
          <w:color w:val="auto"/>
        </w:rPr>
        <w:t>Approve and begin implementation of the new Gender Equality Strategy.</w:t>
      </w:r>
      <w:r w:rsidRPr="00FD02E3">
        <w:rPr>
          <w:rFonts w:cs="Lohit Hindi"/>
          <w:bCs/>
          <w:color w:val="auto"/>
        </w:rPr>
        <w:t xml:space="preserve">  A GES will allow IADC to consolidate foundational elements of gender mainstreaming in the office: </w:t>
      </w:r>
      <w:r w:rsidRPr="00FD02E3">
        <w:rPr>
          <w:rFonts w:cs="Lohit Hindi"/>
          <w:color w:val="auto"/>
        </w:rPr>
        <w:t xml:space="preserve">management and accountability systems, capacities, enabling environment, </w:t>
      </w:r>
      <w:proofErr w:type="gramStart"/>
      <w:r w:rsidRPr="00FD02E3">
        <w:rPr>
          <w:rFonts w:cs="Lohit Hindi"/>
          <w:color w:val="auto"/>
        </w:rPr>
        <w:t>programming</w:t>
      </w:r>
      <w:proofErr w:type="gramEnd"/>
      <w:r w:rsidRPr="00FD02E3">
        <w:rPr>
          <w:rFonts w:cs="Lohit Hindi"/>
          <w:color w:val="auto"/>
        </w:rPr>
        <w:t xml:space="preserve"> and institutional effectiveness.</w:t>
      </w:r>
      <w:r w:rsidR="00F0147B" w:rsidRPr="00FD02E3">
        <w:rPr>
          <w:rFonts w:cs="Lohit Hindi"/>
          <w:color w:val="auto"/>
        </w:rPr>
        <w:t xml:space="preserve">  It will also allow the organization to align and begin implementation of the different </w:t>
      </w:r>
      <w:proofErr w:type="spellStart"/>
      <w:r w:rsidR="00F0147B" w:rsidRPr="00FD02E3">
        <w:rPr>
          <w:rFonts w:cs="Lohit Hindi"/>
          <w:color w:val="auto"/>
        </w:rPr>
        <w:t>programme</w:t>
      </w:r>
      <w:proofErr w:type="spellEnd"/>
      <w:r w:rsidR="00F0147B" w:rsidRPr="00FD02E3">
        <w:rPr>
          <w:rFonts w:cs="Lohit Hindi"/>
          <w:color w:val="auto"/>
        </w:rPr>
        <w:t xml:space="preserve"> strategies at HQ and field office level.</w:t>
      </w:r>
    </w:p>
    <w:p w14:paraId="256E778B" w14:textId="55F9F3B7" w:rsidR="000F68C2" w:rsidRPr="00FD02E3" w:rsidRDefault="000F68C2" w:rsidP="000F68C2">
      <w:pPr>
        <w:pStyle w:val="ListParagraph"/>
        <w:numPr>
          <w:ilvl w:val="0"/>
          <w:numId w:val="18"/>
        </w:numPr>
        <w:spacing w:after="120" w:line="240" w:lineRule="auto"/>
        <w:jc w:val="both"/>
        <w:rPr>
          <w:rFonts w:cs="Lohit Hindi"/>
          <w:bCs/>
          <w:color w:val="auto"/>
        </w:rPr>
      </w:pPr>
      <w:bookmarkStart w:id="3" w:name="_Hlk48489600"/>
      <w:bookmarkEnd w:id="2"/>
      <w:r w:rsidRPr="00FD02E3">
        <w:rPr>
          <w:rFonts w:cs="Lohit Hindi"/>
          <w:b/>
          <w:color w:val="auto"/>
        </w:rPr>
        <w:t>Debate and decide upon the “right fit” for an institutional Gender Architecture</w:t>
      </w:r>
      <w:r w:rsidRPr="00FD02E3">
        <w:rPr>
          <w:rFonts w:cs="Lohit Hindi"/>
          <w:bCs/>
          <w:color w:val="auto"/>
        </w:rPr>
        <w:t xml:space="preserve"> (Full time gender expert vs Part time gender expert and a network of gender focal points</w:t>
      </w:r>
      <w:r w:rsidR="00F0147B" w:rsidRPr="00FD02E3">
        <w:rPr>
          <w:rFonts w:cs="Lohit Hindi"/>
          <w:bCs/>
          <w:color w:val="auto"/>
        </w:rPr>
        <w:t>)</w:t>
      </w:r>
      <w:r w:rsidRPr="00FD02E3">
        <w:rPr>
          <w:rFonts w:cs="Lohit Hindi"/>
          <w:bCs/>
          <w:color w:val="auto"/>
        </w:rPr>
        <w:t>.</w:t>
      </w:r>
      <w:r w:rsidR="00F0147B" w:rsidRPr="00FD02E3">
        <w:rPr>
          <w:rFonts w:cs="Lohit Hindi"/>
          <w:bCs/>
          <w:color w:val="auto"/>
        </w:rPr>
        <w:t xml:space="preserve">  Being unclear or continuously changing the institutional arrangement</w:t>
      </w:r>
      <w:r w:rsidR="001713C8">
        <w:rPr>
          <w:rFonts w:cs="Lohit Hindi"/>
          <w:bCs/>
          <w:color w:val="auto"/>
        </w:rPr>
        <w:t>s might</w:t>
      </w:r>
      <w:r w:rsidR="00F0147B" w:rsidRPr="00FD02E3">
        <w:rPr>
          <w:rFonts w:cs="Lohit Hindi"/>
          <w:bCs/>
          <w:color w:val="auto"/>
        </w:rPr>
        <w:t xml:space="preserve"> convey the message th</w:t>
      </w:r>
      <w:r w:rsidR="001713C8">
        <w:rPr>
          <w:rFonts w:cs="Lohit Hindi"/>
          <w:bCs/>
          <w:color w:val="auto"/>
        </w:rPr>
        <w:t>e “wrong” message that</w:t>
      </w:r>
      <w:r w:rsidR="00F0147B" w:rsidRPr="00FD02E3">
        <w:rPr>
          <w:rFonts w:cs="Lohit Hindi"/>
          <w:bCs/>
          <w:color w:val="auto"/>
        </w:rPr>
        <w:t xml:space="preserve"> the issue in question is not a priority.</w:t>
      </w:r>
    </w:p>
    <w:p w14:paraId="1BB1D59F" w14:textId="1FB44DAA" w:rsidR="00FD02E3" w:rsidRPr="00FD02E3" w:rsidRDefault="00FD02E3" w:rsidP="000F68C2">
      <w:pPr>
        <w:pStyle w:val="ListParagraph"/>
        <w:numPr>
          <w:ilvl w:val="0"/>
          <w:numId w:val="18"/>
        </w:numPr>
        <w:spacing w:after="120" w:line="240" w:lineRule="auto"/>
        <w:jc w:val="both"/>
        <w:rPr>
          <w:rFonts w:cs="Lohit Hindi"/>
          <w:bCs/>
          <w:color w:val="auto"/>
        </w:rPr>
      </w:pPr>
      <w:r w:rsidRPr="00FD02E3">
        <w:rPr>
          <w:rFonts w:cs="Lohit Hindi"/>
          <w:b/>
          <w:color w:val="auto"/>
        </w:rPr>
        <w:t>Sustain the levels of funding for gender equality</w:t>
      </w:r>
      <w:r w:rsidRPr="00FD02E3">
        <w:rPr>
          <w:rFonts w:cs="Lohit Hindi"/>
          <w:bCs/>
          <w:color w:val="auto"/>
        </w:rPr>
        <w:t xml:space="preserve"> (ODA).</w:t>
      </w:r>
    </w:p>
    <w:bookmarkEnd w:id="3"/>
    <w:p w14:paraId="3A59643F" w14:textId="42494F0B" w:rsidR="00A32B53" w:rsidRPr="00FD02E3" w:rsidRDefault="00A32B53" w:rsidP="00A32B53">
      <w:pPr>
        <w:pStyle w:val="ListParagraph"/>
        <w:numPr>
          <w:ilvl w:val="0"/>
          <w:numId w:val="15"/>
        </w:numPr>
        <w:spacing w:after="120" w:line="240" w:lineRule="auto"/>
        <w:ind w:left="360"/>
        <w:jc w:val="both"/>
        <w:rPr>
          <w:rFonts w:cs="Lohit Hindi"/>
          <w:bCs/>
          <w:i/>
          <w:iCs/>
        </w:rPr>
      </w:pPr>
      <w:r w:rsidRPr="00FD02E3">
        <w:rPr>
          <w:rFonts w:cs="Lohit Hindi"/>
          <w:bCs/>
          <w:i/>
          <w:iCs/>
        </w:rPr>
        <w:lastRenderedPageBreak/>
        <w:t>Strengthening gender mainstreaming capacities and programm</w:t>
      </w:r>
      <w:r w:rsidR="00ED0B70">
        <w:rPr>
          <w:rFonts w:cs="Lohit Hindi"/>
          <w:bCs/>
          <w:i/>
          <w:iCs/>
        </w:rPr>
        <w:t>ing.</w:t>
      </w:r>
    </w:p>
    <w:p w14:paraId="48561BDC" w14:textId="70354649" w:rsidR="00A32B53" w:rsidRDefault="000F68C2" w:rsidP="000F68C2">
      <w:pPr>
        <w:spacing w:after="120" w:line="240" w:lineRule="auto"/>
        <w:jc w:val="both"/>
        <w:rPr>
          <w:rFonts w:cs="Lohit Hindi"/>
          <w:bCs/>
          <w:sz w:val="24"/>
          <w:szCs w:val="24"/>
        </w:rPr>
      </w:pPr>
      <w:r w:rsidRPr="00F0147B">
        <w:rPr>
          <w:rFonts w:cs="Lohit Hindi"/>
          <w:bCs/>
          <w:sz w:val="24"/>
          <w:szCs w:val="24"/>
        </w:rPr>
        <w:t>The current results will be difficult to sustain i</w:t>
      </w:r>
      <w:r w:rsidR="00AD7907">
        <w:rPr>
          <w:rFonts w:cs="Lohit Hindi"/>
          <w:bCs/>
          <w:sz w:val="24"/>
          <w:szCs w:val="24"/>
        </w:rPr>
        <w:t>f</w:t>
      </w:r>
      <w:r w:rsidRPr="00F0147B">
        <w:rPr>
          <w:rFonts w:cs="Lohit Hindi"/>
          <w:bCs/>
          <w:sz w:val="24"/>
          <w:szCs w:val="24"/>
        </w:rPr>
        <w:t xml:space="preserve"> the organization does not strengthen its capacities and system</w:t>
      </w:r>
      <w:r w:rsidR="00F0147B" w:rsidRPr="00F0147B">
        <w:rPr>
          <w:rFonts w:cs="Lohit Hindi"/>
          <w:bCs/>
          <w:sz w:val="24"/>
          <w:szCs w:val="24"/>
        </w:rPr>
        <w:t xml:space="preserve">s to ensure gender is effectively mainstreamed in its </w:t>
      </w:r>
      <w:proofErr w:type="spellStart"/>
      <w:r w:rsidR="00F0147B" w:rsidRPr="00F0147B">
        <w:rPr>
          <w:rFonts w:cs="Lohit Hindi"/>
          <w:bCs/>
          <w:sz w:val="24"/>
          <w:szCs w:val="24"/>
        </w:rPr>
        <w:t>programmes</w:t>
      </w:r>
      <w:proofErr w:type="spellEnd"/>
      <w:r w:rsidR="00F0147B" w:rsidRPr="00F0147B">
        <w:rPr>
          <w:rFonts w:cs="Lohit Hindi"/>
          <w:bCs/>
          <w:sz w:val="24"/>
          <w:szCs w:val="24"/>
        </w:rPr>
        <w:t xml:space="preserve">/projects.   </w:t>
      </w:r>
      <w:r w:rsidR="00F0147B">
        <w:rPr>
          <w:rFonts w:cs="Lohit Hindi"/>
          <w:bCs/>
          <w:sz w:val="24"/>
          <w:szCs w:val="24"/>
        </w:rPr>
        <w:t xml:space="preserve">Key decisions as choice of partners or funding allocations for gender equality could be difficult to maintain if staff do not believe and stand behind them.  </w:t>
      </w:r>
      <w:r w:rsidR="00F0147B" w:rsidRPr="00F0147B">
        <w:rPr>
          <w:rFonts w:cs="Lohit Hindi"/>
          <w:bCs/>
          <w:sz w:val="24"/>
          <w:szCs w:val="24"/>
        </w:rPr>
        <w:t xml:space="preserve">This could </w:t>
      </w:r>
      <w:r w:rsidR="00F0147B">
        <w:rPr>
          <w:rFonts w:cs="Lohit Hindi"/>
          <w:bCs/>
          <w:sz w:val="24"/>
          <w:szCs w:val="24"/>
        </w:rPr>
        <w:t>be done by</w:t>
      </w:r>
      <w:r w:rsidR="00FD02E3">
        <w:rPr>
          <w:rFonts w:cs="Lohit Hindi"/>
          <w:bCs/>
          <w:sz w:val="24"/>
          <w:szCs w:val="24"/>
        </w:rPr>
        <w:t xml:space="preserve"> implementing certain initiatives:</w:t>
      </w:r>
    </w:p>
    <w:p w14:paraId="28B5FA0D" w14:textId="3E7F53CB" w:rsidR="00F0147B" w:rsidRPr="00FD02E3" w:rsidRDefault="00AD7907" w:rsidP="00F0147B">
      <w:pPr>
        <w:pStyle w:val="ListParagraph"/>
        <w:numPr>
          <w:ilvl w:val="0"/>
          <w:numId w:val="18"/>
        </w:numPr>
        <w:spacing w:after="120" w:line="240" w:lineRule="auto"/>
        <w:jc w:val="both"/>
        <w:rPr>
          <w:rFonts w:cs="Lohit Hindi"/>
          <w:bCs/>
          <w:color w:val="auto"/>
        </w:rPr>
      </w:pPr>
      <w:r w:rsidRPr="00FD02E3">
        <w:rPr>
          <w:rFonts w:cs="Lohit Hindi"/>
          <w:b/>
          <w:color w:val="auto"/>
        </w:rPr>
        <w:t>Increas</w:t>
      </w:r>
      <w:r w:rsidR="00FD02E3" w:rsidRPr="00FD02E3">
        <w:rPr>
          <w:rFonts w:cs="Lohit Hindi"/>
          <w:b/>
          <w:color w:val="auto"/>
        </w:rPr>
        <w:t>e</w:t>
      </w:r>
      <w:r w:rsidRPr="00FD02E3">
        <w:rPr>
          <w:rFonts w:cs="Lohit Hindi"/>
          <w:b/>
          <w:color w:val="auto"/>
        </w:rPr>
        <w:t xml:space="preserve"> general and subject-specific technical capacities of staff at all levels through hands-on learning</w:t>
      </w:r>
      <w:r w:rsidRPr="00FD02E3">
        <w:rPr>
          <w:rFonts w:cs="Lohit Hindi"/>
          <w:bCs/>
          <w:color w:val="auto"/>
        </w:rPr>
        <w:t xml:space="preserve"> (E.g.:  induction and periodic workshops on general concepts regarding gender equality and gender mainstreaming,  using concrete examples from projects and evaluations) </w:t>
      </w:r>
      <w:r w:rsidRPr="00AD1215">
        <w:rPr>
          <w:rFonts w:cs="Lohit Hindi"/>
          <w:b/>
          <w:color w:val="auto"/>
        </w:rPr>
        <w:t>and regular engagement with experts on complex issues, including different manifestations of GBV, sexual and reproductive</w:t>
      </w:r>
      <w:r w:rsidR="001713C8">
        <w:rPr>
          <w:rFonts w:cs="Lohit Hindi"/>
          <w:b/>
          <w:color w:val="auto"/>
        </w:rPr>
        <w:t xml:space="preserve"> </w:t>
      </w:r>
      <w:r w:rsidRPr="00AD1215">
        <w:rPr>
          <w:rFonts w:cs="Lohit Hindi"/>
          <w:b/>
          <w:color w:val="auto"/>
        </w:rPr>
        <w:t>rights</w:t>
      </w:r>
      <w:r w:rsidR="001713C8">
        <w:rPr>
          <w:rFonts w:cs="Lohit Hindi"/>
          <w:b/>
          <w:color w:val="auto"/>
        </w:rPr>
        <w:t xml:space="preserve">, </w:t>
      </w:r>
      <w:r w:rsidRPr="00AD1215">
        <w:rPr>
          <w:rFonts w:cs="Lohit Hindi"/>
          <w:b/>
          <w:color w:val="auto"/>
        </w:rPr>
        <w:t>to ensure that all staff are aware of the most current debates</w:t>
      </w:r>
      <w:r w:rsidRPr="00FD02E3">
        <w:rPr>
          <w:rFonts w:cs="Lohit Hindi"/>
          <w:bCs/>
          <w:color w:val="auto"/>
        </w:rPr>
        <w:t xml:space="preserve"> (E.g.: webinars with experts from universities, CSOs</w:t>
      </w:r>
      <w:r w:rsidR="001713C8">
        <w:rPr>
          <w:rFonts w:cs="Lohit Hindi"/>
          <w:bCs/>
          <w:color w:val="auto"/>
        </w:rPr>
        <w:t xml:space="preserve"> and/or </w:t>
      </w:r>
      <w:r w:rsidRPr="00FD02E3">
        <w:rPr>
          <w:rFonts w:cs="Lohit Hindi"/>
          <w:bCs/>
          <w:color w:val="auto"/>
        </w:rPr>
        <w:t>UN Agencies</w:t>
      </w:r>
      <w:r w:rsidR="005D1493" w:rsidRPr="00FD02E3">
        <w:rPr>
          <w:rFonts w:cs="Lohit Hindi"/>
          <w:bCs/>
          <w:color w:val="auto"/>
        </w:rPr>
        <w:t xml:space="preserve"> that could be held periodically and recorded to build a “library of resources” for staff and partners</w:t>
      </w:r>
      <w:r w:rsidRPr="00FD02E3">
        <w:rPr>
          <w:rFonts w:cs="Lohit Hindi"/>
          <w:bCs/>
          <w:color w:val="auto"/>
        </w:rPr>
        <w:t>).</w:t>
      </w:r>
    </w:p>
    <w:p w14:paraId="1AE8A244" w14:textId="06A9DC20" w:rsidR="00F0147B" w:rsidRPr="00FD02E3" w:rsidRDefault="00F0147B" w:rsidP="00F0147B">
      <w:pPr>
        <w:pStyle w:val="ListParagraph"/>
        <w:numPr>
          <w:ilvl w:val="0"/>
          <w:numId w:val="18"/>
        </w:numPr>
        <w:spacing w:after="120" w:line="240" w:lineRule="auto"/>
        <w:jc w:val="both"/>
        <w:rPr>
          <w:rFonts w:cs="Lohit Hindi"/>
          <w:bCs/>
          <w:color w:val="auto"/>
        </w:rPr>
      </w:pPr>
      <w:bookmarkStart w:id="4" w:name="_Hlk48491079"/>
      <w:r w:rsidRPr="00FD02E3">
        <w:rPr>
          <w:rFonts w:cs="Lohit Hindi"/>
          <w:b/>
          <w:color w:val="auto"/>
        </w:rPr>
        <w:t>Develop</w:t>
      </w:r>
      <w:r w:rsidR="00FD02E3" w:rsidRPr="00FD02E3">
        <w:rPr>
          <w:rFonts w:cs="Lohit Hindi"/>
          <w:b/>
          <w:color w:val="auto"/>
        </w:rPr>
        <w:t xml:space="preserve"> </w:t>
      </w:r>
      <w:r w:rsidRPr="00FD02E3">
        <w:rPr>
          <w:rFonts w:cs="Lohit Hindi"/>
          <w:b/>
          <w:color w:val="auto"/>
        </w:rPr>
        <w:t>mandatory systems to ensure gender is systematically mainstreamed within the project cycle</w:t>
      </w:r>
      <w:r w:rsidRPr="00FD02E3">
        <w:rPr>
          <w:rFonts w:cs="Lohit Hindi"/>
          <w:bCs/>
          <w:color w:val="auto"/>
        </w:rPr>
        <w:t xml:space="preserve"> (E.g.: gender analysis, gender screening, portfolio reviews, evaluations).</w:t>
      </w:r>
    </w:p>
    <w:bookmarkEnd w:id="4"/>
    <w:p w14:paraId="0F90550F" w14:textId="77777777" w:rsidR="00F0147B" w:rsidRPr="00F0147B" w:rsidRDefault="00F0147B" w:rsidP="000F68C2">
      <w:pPr>
        <w:spacing w:after="120" w:line="240" w:lineRule="auto"/>
        <w:jc w:val="both"/>
        <w:rPr>
          <w:rFonts w:cs="Lohit Hindi"/>
          <w:bCs/>
          <w:sz w:val="24"/>
          <w:szCs w:val="24"/>
        </w:rPr>
      </w:pPr>
    </w:p>
    <w:p w14:paraId="08423CBE" w14:textId="2C7EF761" w:rsidR="00A32B53" w:rsidRPr="00FD02E3" w:rsidRDefault="00A32B53" w:rsidP="00A32B53">
      <w:pPr>
        <w:pStyle w:val="ListParagraph"/>
        <w:numPr>
          <w:ilvl w:val="0"/>
          <w:numId w:val="15"/>
        </w:numPr>
        <w:spacing w:after="120" w:line="240" w:lineRule="auto"/>
        <w:ind w:left="360"/>
        <w:jc w:val="both"/>
        <w:rPr>
          <w:rFonts w:cs="Lohit Hindi"/>
          <w:bCs/>
          <w:i/>
          <w:iCs/>
        </w:rPr>
      </w:pPr>
      <w:r w:rsidRPr="00FD02E3">
        <w:rPr>
          <w:rFonts w:cs="Lohit Hindi"/>
          <w:bCs/>
          <w:i/>
          <w:iCs/>
        </w:rPr>
        <w:t>Foster</w:t>
      </w:r>
      <w:r w:rsidR="00AD1215">
        <w:rPr>
          <w:rFonts w:cs="Lohit Hindi"/>
          <w:bCs/>
          <w:i/>
          <w:iCs/>
        </w:rPr>
        <w:t>ing</w:t>
      </w:r>
      <w:r w:rsidRPr="00FD02E3">
        <w:rPr>
          <w:rFonts w:cs="Lohit Hindi"/>
          <w:bCs/>
          <w:i/>
          <w:iCs/>
        </w:rPr>
        <w:t xml:space="preserve"> discussion and promot</w:t>
      </w:r>
      <w:r w:rsidR="00AD1215">
        <w:rPr>
          <w:rFonts w:cs="Lohit Hindi"/>
          <w:bCs/>
          <w:i/>
          <w:iCs/>
        </w:rPr>
        <w:t>ing</w:t>
      </w:r>
      <w:r w:rsidRPr="00FD02E3">
        <w:rPr>
          <w:rFonts w:cs="Lohit Hindi"/>
          <w:bCs/>
          <w:i/>
          <w:iCs/>
        </w:rPr>
        <w:t xml:space="preserve"> innovation within the organization.</w:t>
      </w:r>
    </w:p>
    <w:p w14:paraId="659B001B" w14:textId="1B361DE7" w:rsidR="005D1493" w:rsidRPr="00B04F13" w:rsidRDefault="00B04F13" w:rsidP="005D1493">
      <w:pPr>
        <w:spacing w:after="120" w:line="240" w:lineRule="auto"/>
        <w:jc w:val="both"/>
        <w:rPr>
          <w:rFonts w:cs="Lohit Hindi"/>
          <w:bCs/>
          <w:sz w:val="24"/>
          <w:szCs w:val="24"/>
        </w:rPr>
      </w:pPr>
      <w:r>
        <w:rPr>
          <w:rFonts w:cs="Lohit Hindi"/>
          <w:bCs/>
          <w:sz w:val="24"/>
          <w:szCs w:val="24"/>
        </w:rPr>
        <w:t xml:space="preserve">Organizations need to address gender inequalities within their own structures, </w:t>
      </w:r>
      <w:proofErr w:type="gramStart"/>
      <w:r>
        <w:rPr>
          <w:rFonts w:cs="Lohit Hindi"/>
          <w:bCs/>
          <w:sz w:val="24"/>
          <w:szCs w:val="24"/>
        </w:rPr>
        <w:t>in order to</w:t>
      </w:r>
      <w:proofErr w:type="gramEnd"/>
      <w:r>
        <w:rPr>
          <w:rFonts w:cs="Lohit Hindi"/>
          <w:bCs/>
          <w:sz w:val="24"/>
          <w:szCs w:val="24"/>
        </w:rPr>
        <w:t xml:space="preserve"> maintain its results and legitimacy with its partners and the communities </w:t>
      </w:r>
      <w:r w:rsidR="00FD02E3">
        <w:rPr>
          <w:rFonts w:cs="Lohit Hindi"/>
          <w:bCs/>
          <w:sz w:val="24"/>
          <w:szCs w:val="24"/>
        </w:rPr>
        <w:t>they</w:t>
      </w:r>
      <w:r>
        <w:rPr>
          <w:rFonts w:cs="Lohit Hindi"/>
          <w:bCs/>
          <w:sz w:val="24"/>
          <w:szCs w:val="24"/>
        </w:rPr>
        <w:t xml:space="preserve"> </w:t>
      </w:r>
      <w:r w:rsidR="00FD02E3">
        <w:rPr>
          <w:rFonts w:cs="Lohit Hindi"/>
          <w:bCs/>
          <w:sz w:val="24"/>
          <w:szCs w:val="24"/>
        </w:rPr>
        <w:t xml:space="preserve">are </w:t>
      </w:r>
      <w:r>
        <w:rPr>
          <w:rFonts w:cs="Lohit Hindi"/>
          <w:bCs/>
          <w:sz w:val="24"/>
          <w:szCs w:val="24"/>
        </w:rPr>
        <w:t>serving.  Some recommendations in this sense include:</w:t>
      </w:r>
    </w:p>
    <w:p w14:paraId="6B08BC69" w14:textId="672D1315" w:rsidR="005D1493" w:rsidRPr="00FD02E3" w:rsidRDefault="00B04F13" w:rsidP="005D1493">
      <w:pPr>
        <w:pStyle w:val="ListParagraph"/>
        <w:numPr>
          <w:ilvl w:val="0"/>
          <w:numId w:val="18"/>
        </w:numPr>
        <w:spacing w:after="120" w:line="240" w:lineRule="auto"/>
        <w:jc w:val="both"/>
        <w:rPr>
          <w:rFonts w:cs="Lohit Hindi"/>
          <w:bCs/>
          <w:color w:val="auto"/>
        </w:rPr>
      </w:pPr>
      <w:r w:rsidRPr="00FD02E3">
        <w:rPr>
          <w:rFonts w:cs="Lohit Hindi"/>
          <w:b/>
          <w:color w:val="auto"/>
        </w:rPr>
        <w:t>Ensure every staff, partner and contractor knows where the organization stands regarding SH and SEA.</w:t>
      </w:r>
      <w:r w:rsidRPr="00FD02E3">
        <w:rPr>
          <w:rFonts w:cs="Lohit Hindi"/>
          <w:bCs/>
          <w:color w:val="auto"/>
        </w:rPr>
        <w:t xml:space="preserve">  Train staff to effectively identify and address these issues.  If possible, use “real case studies” to support the training process</w:t>
      </w:r>
      <w:r w:rsidR="001713C8">
        <w:rPr>
          <w:rFonts w:cs="Lohit Hindi"/>
          <w:bCs/>
          <w:color w:val="auto"/>
        </w:rPr>
        <w:t>es</w:t>
      </w:r>
      <w:r w:rsidRPr="00FD02E3">
        <w:rPr>
          <w:rFonts w:cs="Lohit Hindi"/>
          <w:bCs/>
          <w:color w:val="auto"/>
        </w:rPr>
        <w:t>, especially of those staff who might have direct responsibility/oversight on these issues.</w:t>
      </w:r>
    </w:p>
    <w:p w14:paraId="2FEE61BD" w14:textId="75DA30CA" w:rsidR="00B04F13" w:rsidRPr="00FD02E3" w:rsidRDefault="00B04F13" w:rsidP="005D1493">
      <w:pPr>
        <w:pStyle w:val="ListParagraph"/>
        <w:numPr>
          <w:ilvl w:val="0"/>
          <w:numId w:val="18"/>
        </w:numPr>
        <w:spacing w:after="120" w:line="240" w:lineRule="auto"/>
        <w:jc w:val="both"/>
        <w:rPr>
          <w:rFonts w:cs="Lohit Hindi"/>
          <w:bCs/>
          <w:color w:val="auto"/>
        </w:rPr>
      </w:pPr>
      <w:r w:rsidRPr="00FD02E3">
        <w:rPr>
          <w:rFonts w:cs="Lohit Hindi"/>
          <w:b/>
          <w:color w:val="auto"/>
        </w:rPr>
        <w:t>Promote a culture of gender equality within the organization</w:t>
      </w:r>
      <w:r w:rsidR="00FD02E3">
        <w:rPr>
          <w:rFonts w:cs="Lohit Hindi"/>
          <w:b/>
          <w:color w:val="auto"/>
        </w:rPr>
        <w:t xml:space="preserve">.  </w:t>
      </w:r>
      <w:r w:rsidR="00FD02E3" w:rsidRPr="00FD02E3">
        <w:rPr>
          <w:rFonts w:cs="Lohit Hindi"/>
          <w:bCs/>
          <w:color w:val="auto"/>
        </w:rPr>
        <w:t>S</w:t>
      </w:r>
      <w:r w:rsidRPr="00FD02E3">
        <w:rPr>
          <w:rFonts w:cs="Lohit Hindi"/>
          <w:bCs/>
          <w:color w:val="auto"/>
        </w:rPr>
        <w:t xml:space="preserve">trengthen spaces for internal dialogue, </w:t>
      </w:r>
      <w:r w:rsidR="00FD02E3">
        <w:rPr>
          <w:rFonts w:cs="Lohit Hindi"/>
          <w:bCs/>
          <w:color w:val="auto"/>
        </w:rPr>
        <w:t xml:space="preserve">engage men, </w:t>
      </w:r>
      <w:r w:rsidRPr="00FD02E3">
        <w:rPr>
          <w:rFonts w:cs="Lohit Hindi"/>
          <w:bCs/>
          <w:color w:val="auto"/>
        </w:rPr>
        <w:t>rais</w:t>
      </w:r>
      <w:r w:rsidR="00FD02E3">
        <w:rPr>
          <w:rFonts w:cs="Lohit Hindi"/>
          <w:bCs/>
          <w:color w:val="auto"/>
        </w:rPr>
        <w:t xml:space="preserve">e </w:t>
      </w:r>
      <w:r w:rsidRPr="00FD02E3">
        <w:rPr>
          <w:rFonts w:cs="Lohit Hindi"/>
          <w:bCs/>
          <w:color w:val="auto"/>
        </w:rPr>
        <w:t>awareness and knowledge on key issues related to gender equality</w:t>
      </w:r>
      <w:r w:rsidR="00FD02E3">
        <w:rPr>
          <w:rFonts w:cs="Lohit Hindi"/>
          <w:bCs/>
          <w:color w:val="auto"/>
        </w:rPr>
        <w:t xml:space="preserve">, especially those where more resistances could be </w:t>
      </w:r>
      <w:r w:rsidR="00ED0B70">
        <w:rPr>
          <w:rFonts w:cs="Lohit Hindi"/>
          <w:bCs/>
          <w:color w:val="auto"/>
        </w:rPr>
        <w:t>encountered</w:t>
      </w:r>
      <w:r w:rsidRPr="00FD02E3">
        <w:rPr>
          <w:rFonts w:cs="Lohit Hindi"/>
          <w:bCs/>
          <w:color w:val="auto"/>
        </w:rPr>
        <w:t>.</w:t>
      </w:r>
    </w:p>
    <w:p w14:paraId="6449F79A" w14:textId="77777777" w:rsidR="00A32B53" w:rsidRPr="00A32B53" w:rsidRDefault="00A32B53" w:rsidP="00A32B53">
      <w:pPr>
        <w:pStyle w:val="ListParagraph"/>
        <w:rPr>
          <w:rFonts w:cs="Lohit Hindi"/>
          <w:bCs/>
        </w:rPr>
      </w:pPr>
    </w:p>
    <w:p w14:paraId="7897DC2C" w14:textId="54AB409A" w:rsidR="00A32B53" w:rsidRDefault="00A32B53" w:rsidP="00A32B53">
      <w:pPr>
        <w:pStyle w:val="ListParagraph"/>
        <w:numPr>
          <w:ilvl w:val="0"/>
          <w:numId w:val="15"/>
        </w:numPr>
        <w:spacing w:after="120" w:line="240" w:lineRule="auto"/>
        <w:ind w:left="360"/>
        <w:jc w:val="both"/>
        <w:rPr>
          <w:rFonts w:cs="Lohit Hindi"/>
          <w:bCs/>
          <w:i/>
          <w:iCs/>
        </w:rPr>
      </w:pPr>
      <w:r w:rsidRPr="00FD02E3">
        <w:rPr>
          <w:rFonts w:cs="Lohit Hindi"/>
          <w:bCs/>
          <w:i/>
          <w:iCs/>
        </w:rPr>
        <w:t>Leading and partnering for gender equality.</w:t>
      </w:r>
    </w:p>
    <w:p w14:paraId="48DA495C" w14:textId="696B1BC2" w:rsidR="00ED0B70" w:rsidRPr="001713C8" w:rsidRDefault="00ED0B70" w:rsidP="00ED0B70">
      <w:pPr>
        <w:spacing w:after="120" w:line="240" w:lineRule="auto"/>
        <w:jc w:val="both"/>
        <w:rPr>
          <w:rFonts w:cs="Lohit Hindi"/>
          <w:bCs/>
          <w:sz w:val="24"/>
          <w:szCs w:val="24"/>
        </w:rPr>
      </w:pPr>
      <w:r w:rsidRPr="001713C8">
        <w:rPr>
          <w:rFonts w:cs="Lohit Hindi"/>
          <w:bCs/>
          <w:sz w:val="24"/>
          <w:szCs w:val="24"/>
        </w:rPr>
        <w:t>Strengthening and extending strategic partnerships (HQ and field office level) is key to maintain results at the individual level and scal</w:t>
      </w:r>
      <w:r w:rsidR="001713C8">
        <w:rPr>
          <w:rFonts w:cs="Lohit Hindi"/>
          <w:bCs/>
          <w:sz w:val="24"/>
          <w:szCs w:val="24"/>
        </w:rPr>
        <w:t>e</w:t>
      </w:r>
      <w:r w:rsidRPr="001713C8">
        <w:rPr>
          <w:rFonts w:cs="Lohit Hindi"/>
          <w:bCs/>
          <w:sz w:val="24"/>
          <w:szCs w:val="24"/>
        </w:rPr>
        <w:t xml:space="preserve"> them up to the systemic level.   Some recommendations in this sense include:</w:t>
      </w:r>
    </w:p>
    <w:p w14:paraId="01340809" w14:textId="3A86751B" w:rsidR="00ED0B70" w:rsidRPr="00ED0B70" w:rsidRDefault="00ED0B70" w:rsidP="00ED0B70">
      <w:pPr>
        <w:pStyle w:val="ListParagraph"/>
        <w:numPr>
          <w:ilvl w:val="0"/>
          <w:numId w:val="22"/>
        </w:numPr>
        <w:spacing w:after="120" w:line="240" w:lineRule="auto"/>
        <w:jc w:val="both"/>
        <w:rPr>
          <w:rFonts w:cstheme="minorHAnsi"/>
          <w:b/>
          <w:color w:val="auto"/>
        </w:rPr>
      </w:pPr>
      <w:r w:rsidRPr="00ED0B70">
        <w:rPr>
          <w:rFonts w:cstheme="minorHAnsi"/>
          <w:b/>
          <w:color w:val="auto"/>
        </w:rPr>
        <w:t xml:space="preserve">Continue </w:t>
      </w:r>
      <w:r w:rsidR="001713C8">
        <w:rPr>
          <w:rFonts w:cstheme="minorHAnsi"/>
          <w:b/>
          <w:color w:val="auto"/>
        </w:rPr>
        <w:t xml:space="preserve">the IADC </w:t>
      </w:r>
      <w:r w:rsidRPr="00ED0B70">
        <w:rPr>
          <w:rFonts w:cstheme="minorHAnsi"/>
          <w:b/>
          <w:color w:val="auto"/>
        </w:rPr>
        <w:t>key role as gender equality advocate amongst donors and UN agencies.</w:t>
      </w:r>
    </w:p>
    <w:p w14:paraId="763EF0A2" w14:textId="34F21D66" w:rsidR="00ED0B70" w:rsidRPr="00ED0B70" w:rsidRDefault="00ED0B70" w:rsidP="00ED0B70">
      <w:pPr>
        <w:pStyle w:val="ListParagraph"/>
        <w:numPr>
          <w:ilvl w:val="0"/>
          <w:numId w:val="22"/>
        </w:numPr>
        <w:spacing w:after="120" w:line="240" w:lineRule="auto"/>
        <w:jc w:val="both"/>
        <w:rPr>
          <w:rFonts w:cstheme="minorHAnsi"/>
          <w:b/>
          <w:color w:val="auto"/>
        </w:rPr>
      </w:pPr>
      <w:r w:rsidRPr="00ED0B70">
        <w:rPr>
          <w:rFonts w:cstheme="minorHAnsi"/>
          <w:b/>
          <w:color w:val="auto"/>
        </w:rPr>
        <w:t>Keep the current set of gender criteria to choose partners, for it has rendered impressive results.</w:t>
      </w:r>
    </w:p>
    <w:p w14:paraId="2AA060F7" w14:textId="360313C4" w:rsidR="00ED0B70" w:rsidRPr="00ED0B70" w:rsidRDefault="00ED0B70" w:rsidP="00ED0B70">
      <w:pPr>
        <w:pStyle w:val="ListParagraph"/>
        <w:numPr>
          <w:ilvl w:val="0"/>
          <w:numId w:val="22"/>
        </w:numPr>
        <w:spacing w:after="120" w:line="240" w:lineRule="auto"/>
        <w:jc w:val="both"/>
        <w:rPr>
          <w:rFonts w:cstheme="minorHAnsi"/>
          <w:b/>
          <w:color w:val="auto"/>
        </w:rPr>
      </w:pPr>
      <w:r w:rsidRPr="00ED0B70">
        <w:rPr>
          <w:rFonts w:cstheme="minorHAnsi"/>
          <w:b/>
          <w:color w:val="auto"/>
          <w:lang w:val="en-GB"/>
        </w:rPr>
        <w:t>Increase outreach to, and engagement with, grassroots civil society and women’s movements and organizations in the countries of work.</w:t>
      </w:r>
    </w:p>
    <w:p w14:paraId="2F1A266A" w14:textId="77777777" w:rsidR="00ED0B70" w:rsidRPr="00ED0B70" w:rsidRDefault="00ED0B70" w:rsidP="00ED0B70">
      <w:pPr>
        <w:pStyle w:val="ListParagraph"/>
        <w:spacing w:after="120" w:line="240" w:lineRule="auto"/>
        <w:jc w:val="both"/>
        <w:rPr>
          <w:rFonts w:cstheme="minorHAnsi"/>
          <w:b/>
          <w:color w:val="auto"/>
        </w:rPr>
      </w:pPr>
    </w:p>
    <w:p w14:paraId="08EA523F" w14:textId="77777777" w:rsidR="00235C45" w:rsidRPr="00235C45" w:rsidRDefault="00235C45" w:rsidP="004E5EF8">
      <w:pPr>
        <w:spacing w:after="0" w:line="240" w:lineRule="auto"/>
      </w:pPr>
    </w:p>
    <w:sectPr w:rsidR="00235C45" w:rsidRPr="00235C45" w:rsidSect="004F3BB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15CE9" w14:textId="77777777" w:rsidR="00A4186C" w:rsidRDefault="00A4186C" w:rsidP="0042058B">
      <w:pPr>
        <w:spacing w:after="0" w:line="240" w:lineRule="auto"/>
      </w:pPr>
      <w:r>
        <w:separator/>
      </w:r>
    </w:p>
  </w:endnote>
  <w:endnote w:type="continuationSeparator" w:id="0">
    <w:p w14:paraId="0FC69EAF" w14:textId="77777777" w:rsidR="00A4186C" w:rsidRDefault="00A4186C" w:rsidP="0042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Mincho"/>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8042443"/>
      <w:docPartObj>
        <w:docPartGallery w:val="Page Numbers (Bottom of Page)"/>
        <w:docPartUnique/>
      </w:docPartObj>
    </w:sdtPr>
    <w:sdtEndPr>
      <w:rPr>
        <w:noProof/>
      </w:rPr>
    </w:sdtEndPr>
    <w:sdtContent>
      <w:p w14:paraId="1A27E41D" w14:textId="10C96379" w:rsidR="0042058B" w:rsidRDefault="004205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DF101" w14:textId="77777777" w:rsidR="0042058B" w:rsidRDefault="004205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200AC" w14:textId="77777777" w:rsidR="00A4186C" w:rsidRDefault="00A4186C" w:rsidP="0042058B">
      <w:pPr>
        <w:spacing w:after="0" w:line="240" w:lineRule="auto"/>
      </w:pPr>
      <w:r>
        <w:separator/>
      </w:r>
    </w:p>
  </w:footnote>
  <w:footnote w:type="continuationSeparator" w:id="0">
    <w:p w14:paraId="3EAD8720" w14:textId="77777777" w:rsidR="00A4186C" w:rsidRDefault="00A4186C" w:rsidP="00420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8" type="#_x0000_t75" style="width:11.4pt;height:11.4pt" o:bullet="t">
        <v:imagedata r:id="rId1" o:title="msoD180"/>
      </v:shape>
    </w:pict>
  </w:numPicBullet>
  <w:numPicBullet w:numPicBulletId="1">
    <w:pict>
      <v:shape id="_x0000_i1149" type="#_x0000_t75" style="width:11.4pt;height:11.4pt" o:bullet="t">
        <v:imagedata r:id="rId2" o:title="mso6304"/>
      </v:shape>
    </w:pict>
  </w:numPicBullet>
  <w:abstractNum w:abstractNumId="0" w15:restartNumberingAfterBreak="0">
    <w:nsid w:val="06604501"/>
    <w:multiLevelType w:val="hybridMultilevel"/>
    <w:tmpl w:val="F886D32C"/>
    <w:lvl w:ilvl="0" w:tplc="A6BCF40E">
      <w:start w:val="1"/>
      <w:numFmt w:val="bullet"/>
      <w:lvlText w:val=""/>
      <w:lvlPicBulletId w:val="0"/>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02D5"/>
    <w:multiLevelType w:val="hybridMultilevel"/>
    <w:tmpl w:val="C3D6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61EC5"/>
    <w:multiLevelType w:val="hybridMultilevel"/>
    <w:tmpl w:val="D8A83990"/>
    <w:lvl w:ilvl="0" w:tplc="A6BCF40E">
      <w:start w:val="1"/>
      <w:numFmt w:val="bullet"/>
      <w:lvlText w:val=""/>
      <w:lvlPicBulletId w:val="1"/>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2E0B"/>
    <w:multiLevelType w:val="hybridMultilevel"/>
    <w:tmpl w:val="524477D4"/>
    <w:lvl w:ilvl="0" w:tplc="A6BCF40E">
      <w:start w:val="1"/>
      <w:numFmt w:val="bullet"/>
      <w:lvlText w:val=""/>
      <w:lvlJc w:val="left"/>
      <w:pPr>
        <w:ind w:left="1512" w:hanging="360"/>
      </w:pPr>
      <w:rPr>
        <w:rFonts w:ascii="Symbol" w:hAnsi="Symbol" w:hint="default"/>
        <w:color w:val="FF6600"/>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 w15:restartNumberingAfterBreak="0">
    <w:nsid w:val="10FD7237"/>
    <w:multiLevelType w:val="hybridMultilevel"/>
    <w:tmpl w:val="F09AEC22"/>
    <w:lvl w:ilvl="0" w:tplc="A6BCF40E">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D1FAF"/>
    <w:multiLevelType w:val="hybridMultilevel"/>
    <w:tmpl w:val="19B0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05A89"/>
    <w:multiLevelType w:val="hybridMultilevel"/>
    <w:tmpl w:val="E3C0E2C6"/>
    <w:lvl w:ilvl="0" w:tplc="A6BCF40E">
      <w:start w:val="1"/>
      <w:numFmt w:val="bullet"/>
      <w:lvlText w:val=""/>
      <w:lvlPicBulletId w:val="0"/>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ED6F24"/>
    <w:multiLevelType w:val="hybridMultilevel"/>
    <w:tmpl w:val="5DC0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FB5754"/>
    <w:multiLevelType w:val="hybridMultilevel"/>
    <w:tmpl w:val="108E5D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39524897"/>
    <w:multiLevelType w:val="hybridMultilevel"/>
    <w:tmpl w:val="0BBC8798"/>
    <w:lvl w:ilvl="0" w:tplc="A6BCF40E">
      <w:start w:val="1"/>
      <w:numFmt w:val="bullet"/>
      <w:lvlText w:val=""/>
      <w:lvlPicBulletId w:val="1"/>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D450C6"/>
    <w:multiLevelType w:val="hybridMultilevel"/>
    <w:tmpl w:val="E0A0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3A5E3C"/>
    <w:multiLevelType w:val="hybridMultilevel"/>
    <w:tmpl w:val="BA96A3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7B7511"/>
    <w:multiLevelType w:val="hybridMultilevel"/>
    <w:tmpl w:val="ACC6B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98E0961"/>
    <w:multiLevelType w:val="hybridMultilevel"/>
    <w:tmpl w:val="1A021054"/>
    <w:lvl w:ilvl="0" w:tplc="0C0A0001">
      <w:start w:val="1"/>
      <w:numFmt w:val="bullet"/>
      <w:lvlText w:val=""/>
      <w:lvlJc w:val="left"/>
      <w:pPr>
        <w:ind w:left="774" w:hanging="360"/>
      </w:pPr>
      <w:rPr>
        <w:rFonts w:ascii="Symbol" w:hAnsi="Symbol" w:hint="default"/>
      </w:rPr>
    </w:lvl>
    <w:lvl w:ilvl="1" w:tplc="0C0A0003" w:tentative="1">
      <w:start w:val="1"/>
      <w:numFmt w:val="bullet"/>
      <w:lvlText w:val="o"/>
      <w:lvlJc w:val="left"/>
      <w:pPr>
        <w:ind w:left="1494" w:hanging="360"/>
      </w:pPr>
      <w:rPr>
        <w:rFonts w:ascii="Courier New" w:hAnsi="Courier New" w:hint="default"/>
      </w:rPr>
    </w:lvl>
    <w:lvl w:ilvl="2" w:tplc="0C0A0005" w:tentative="1">
      <w:start w:val="1"/>
      <w:numFmt w:val="bullet"/>
      <w:lvlText w:val=""/>
      <w:lvlJc w:val="left"/>
      <w:pPr>
        <w:ind w:left="2214" w:hanging="360"/>
      </w:pPr>
      <w:rPr>
        <w:rFonts w:ascii="Wingdings" w:hAnsi="Wingdings" w:hint="default"/>
      </w:rPr>
    </w:lvl>
    <w:lvl w:ilvl="3" w:tplc="0C0A0001" w:tentative="1">
      <w:start w:val="1"/>
      <w:numFmt w:val="bullet"/>
      <w:lvlText w:val=""/>
      <w:lvlJc w:val="left"/>
      <w:pPr>
        <w:ind w:left="2934" w:hanging="360"/>
      </w:pPr>
      <w:rPr>
        <w:rFonts w:ascii="Symbol" w:hAnsi="Symbol" w:hint="default"/>
      </w:rPr>
    </w:lvl>
    <w:lvl w:ilvl="4" w:tplc="0C0A0003" w:tentative="1">
      <w:start w:val="1"/>
      <w:numFmt w:val="bullet"/>
      <w:lvlText w:val="o"/>
      <w:lvlJc w:val="left"/>
      <w:pPr>
        <w:ind w:left="3654" w:hanging="360"/>
      </w:pPr>
      <w:rPr>
        <w:rFonts w:ascii="Courier New" w:hAnsi="Courier New" w:hint="default"/>
      </w:rPr>
    </w:lvl>
    <w:lvl w:ilvl="5" w:tplc="0C0A0005" w:tentative="1">
      <w:start w:val="1"/>
      <w:numFmt w:val="bullet"/>
      <w:lvlText w:val=""/>
      <w:lvlJc w:val="left"/>
      <w:pPr>
        <w:ind w:left="4374" w:hanging="360"/>
      </w:pPr>
      <w:rPr>
        <w:rFonts w:ascii="Wingdings" w:hAnsi="Wingdings" w:hint="default"/>
      </w:rPr>
    </w:lvl>
    <w:lvl w:ilvl="6" w:tplc="0C0A0001" w:tentative="1">
      <w:start w:val="1"/>
      <w:numFmt w:val="bullet"/>
      <w:lvlText w:val=""/>
      <w:lvlJc w:val="left"/>
      <w:pPr>
        <w:ind w:left="5094" w:hanging="360"/>
      </w:pPr>
      <w:rPr>
        <w:rFonts w:ascii="Symbol" w:hAnsi="Symbol" w:hint="default"/>
      </w:rPr>
    </w:lvl>
    <w:lvl w:ilvl="7" w:tplc="0C0A0003" w:tentative="1">
      <w:start w:val="1"/>
      <w:numFmt w:val="bullet"/>
      <w:lvlText w:val="o"/>
      <w:lvlJc w:val="left"/>
      <w:pPr>
        <w:ind w:left="5814" w:hanging="360"/>
      </w:pPr>
      <w:rPr>
        <w:rFonts w:ascii="Courier New" w:hAnsi="Courier New" w:hint="default"/>
      </w:rPr>
    </w:lvl>
    <w:lvl w:ilvl="8" w:tplc="0C0A0005" w:tentative="1">
      <w:start w:val="1"/>
      <w:numFmt w:val="bullet"/>
      <w:lvlText w:val=""/>
      <w:lvlJc w:val="left"/>
      <w:pPr>
        <w:ind w:left="6534" w:hanging="360"/>
      </w:pPr>
      <w:rPr>
        <w:rFonts w:ascii="Wingdings" w:hAnsi="Wingdings" w:hint="default"/>
      </w:rPr>
    </w:lvl>
  </w:abstractNum>
  <w:abstractNum w:abstractNumId="14" w15:restartNumberingAfterBreak="0">
    <w:nsid w:val="4E431ECA"/>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F343B80"/>
    <w:multiLevelType w:val="hybridMultilevel"/>
    <w:tmpl w:val="4B7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4E4E27"/>
    <w:multiLevelType w:val="hybridMultilevel"/>
    <w:tmpl w:val="FFAE57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D2505"/>
    <w:multiLevelType w:val="hybridMultilevel"/>
    <w:tmpl w:val="BC28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010C8D"/>
    <w:multiLevelType w:val="hybridMultilevel"/>
    <w:tmpl w:val="EA80D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212EF"/>
    <w:multiLevelType w:val="hybridMultilevel"/>
    <w:tmpl w:val="0D76DBAC"/>
    <w:lvl w:ilvl="0" w:tplc="A6BCF40E">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C3AED"/>
    <w:multiLevelType w:val="hybridMultilevel"/>
    <w:tmpl w:val="AFD87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80D26"/>
    <w:multiLevelType w:val="hybridMultilevel"/>
    <w:tmpl w:val="322A0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3"/>
  </w:num>
  <w:num w:numId="4">
    <w:abstractNumId w:val="16"/>
  </w:num>
  <w:num w:numId="5">
    <w:abstractNumId w:val="12"/>
  </w:num>
  <w:num w:numId="6">
    <w:abstractNumId w:val="21"/>
  </w:num>
  <w:num w:numId="7">
    <w:abstractNumId w:val="10"/>
  </w:num>
  <w:num w:numId="8">
    <w:abstractNumId w:val="15"/>
  </w:num>
  <w:num w:numId="9">
    <w:abstractNumId w:val="20"/>
  </w:num>
  <w:num w:numId="10">
    <w:abstractNumId w:val="11"/>
  </w:num>
  <w:num w:numId="11">
    <w:abstractNumId w:val="7"/>
  </w:num>
  <w:num w:numId="12">
    <w:abstractNumId w:val="8"/>
  </w:num>
  <w:num w:numId="13">
    <w:abstractNumId w:val="17"/>
  </w:num>
  <w:num w:numId="14">
    <w:abstractNumId w:val="1"/>
  </w:num>
  <w:num w:numId="15">
    <w:abstractNumId w:val="2"/>
  </w:num>
  <w:num w:numId="16">
    <w:abstractNumId w:val="0"/>
  </w:num>
  <w:num w:numId="17">
    <w:abstractNumId w:val="6"/>
  </w:num>
  <w:num w:numId="18">
    <w:abstractNumId w:val="19"/>
  </w:num>
  <w:num w:numId="19">
    <w:abstractNumId w:val="14"/>
  </w:num>
  <w:num w:numId="20">
    <w:abstractNumId w:val="3"/>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D9"/>
    <w:rsid w:val="00001ADF"/>
    <w:rsid w:val="00017B56"/>
    <w:rsid w:val="0005603E"/>
    <w:rsid w:val="00060999"/>
    <w:rsid w:val="00062917"/>
    <w:rsid w:val="000839AB"/>
    <w:rsid w:val="00096170"/>
    <w:rsid w:val="000A6C7A"/>
    <w:rsid w:val="000B4596"/>
    <w:rsid w:val="000C529B"/>
    <w:rsid w:val="000D7383"/>
    <w:rsid w:val="000F3460"/>
    <w:rsid w:val="000F3AE1"/>
    <w:rsid w:val="000F6350"/>
    <w:rsid w:val="000F68C2"/>
    <w:rsid w:val="000F7DEF"/>
    <w:rsid w:val="00104FDC"/>
    <w:rsid w:val="0011405F"/>
    <w:rsid w:val="001357AC"/>
    <w:rsid w:val="00165A48"/>
    <w:rsid w:val="001713C8"/>
    <w:rsid w:val="001953BF"/>
    <w:rsid w:val="00196F07"/>
    <w:rsid w:val="001C3AEA"/>
    <w:rsid w:val="001D06A6"/>
    <w:rsid w:val="001D0C44"/>
    <w:rsid w:val="001D24EF"/>
    <w:rsid w:val="001E125F"/>
    <w:rsid w:val="001F0572"/>
    <w:rsid w:val="00235C45"/>
    <w:rsid w:val="00243A1D"/>
    <w:rsid w:val="00251686"/>
    <w:rsid w:val="00273F9E"/>
    <w:rsid w:val="002B65F9"/>
    <w:rsid w:val="002D316A"/>
    <w:rsid w:val="002E2A2B"/>
    <w:rsid w:val="002E2C8B"/>
    <w:rsid w:val="002E5104"/>
    <w:rsid w:val="00301E68"/>
    <w:rsid w:val="003078B4"/>
    <w:rsid w:val="003419B0"/>
    <w:rsid w:val="00346735"/>
    <w:rsid w:val="00350E54"/>
    <w:rsid w:val="003673CB"/>
    <w:rsid w:val="00373326"/>
    <w:rsid w:val="00385346"/>
    <w:rsid w:val="003C101D"/>
    <w:rsid w:val="003D3D31"/>
    <w:rsid w:val="00410C97"/>
    <w:rsid w:val="004148D9"/>
    <w:rsid w:val="0042038C"/>
    <w:rsid w:val="0042058B"/>
    <w:rsid w:val="00420B6E"/>
    <w:rsid w:val="00450500"/>
    <w:rsid w:val="00453759"/>
    <w:rsid w:val="00457A74"/>
    <w:rsid w:val="0048257E"/>
    <w:rsid w:val="00497E5B"/>
    <w:rsid w:val="004A538A"/>
    <w:rsid w:val="004B3CB7"/>
    <w:rsid w:val="004E24E3"/>
    <w:rsid w:val="004E25AB"/>
    <w:rsid w:val="004E5EF8"/>
    <w:rsid w:val="004F3BB8"/>
    <w:rsid w:val="004F5B7B"/>
    <w:rsid w:val="00552D84"/>
    <w:rsid w:val="00557CBD"/>
    <w:rsid w:val="00595C46"/>
    <w:rsid w:val="005A5262"/>
    <w:rsid w:val="005C26B1"/>
    <w:rsid w:val="005C4D2D"/>
    <w:rsid w:val="005C7A0E"/>
    <w:rsid w:val="005D1493"/>
    <w:rsid w:val="005E515F"/>
    <w:rsid w:val="006015EC"/>
    <w:rsid w:val="0060572B"/>
    <w:rsid w:val="006307AA"/>
    <w:rsid w:val="006542D9"/>
    <w:rsid w:val="006D4CC9"/>
    <w:rsid w:val="006E277B"/>
    <w:rsid w:val="006F1739"/>
    <w:rsid w:val="006F5326"/>
    <w:rsid w:val="007022A2"/>
    <w:rsid w:val="00712BA0"/>
    <w:rsid w:val="00712D9F"/>
    <w:rsid w:val="00717322"/>
    <w:rsid w:val="007931B0"/>
    <w:rsid w:val="007A64B4"/>
    <w:rsid w:val="007C066B"/>
    <w:rsid w:val="007D2DBC"/>
    <w:rsid w:val="008110EA"/>
    <w:rsid w:val="00812AF2"/>
    <w:rsid w:val="0081478C"/>
    <w:rsid w:val="008153A9"/>
    <w:rsid w:val="0081607A"/>
    <w:rsid w:val="00831E41"/>
    <w:rsid w:val="00844685"/>
    <w:rsid w:val="008743D7"/>
    <w:rsid w:val="008916EF"/>
    <w:rsid w:val="008A497D"/>
    <w:rsid w:val="008B3F40"/>
    <w:rsid w:val="008C4245"/>
    <w:rsid w:val="008E0E95"/>
    <w:rsid w:val="00900173"/>
    <w:rsid w:val="00913E1C"/>
    <w:rsid w:val="00923439"/>
    <w:rsid w:val="00926D2F"/>
    <w:rsid w:val="0097382C"/>
    <w:rsid w:val="009C29C0"/>
    <w:rsid w:val="009C74B8"/>
    <w:rsid w:val="00A23223"/>
    <w:rsid w:val="00A32B53"/>
    <w:rsid w:val="00A4186C"/>
    <w:rsid w:val="00A42F9C"/>
    <w:rsid w:val="00A43081"/>
    <w:rsid w:val="00A94383"/>
    <w:rsid w:val="00AA4F08"/>
    <w:rsid w:val="00AC3685"/>
    <w:rsid w:val="00AD1215"/>
    <w:rsid w:val="00AD3F3C"/>
    <w:rsid w:val="00AD7907"/>
    <w:rsid w:val="00AF4774"/>
    <w:rsid w:val="00B04F13"/>
    <w:rsid w:val="00B1767D"/>
    <w:rsid w:val="00B22118"/>
    <w:rsid w:val="00B2295A"/>
    <w:rsid w:val="00B62D23"/>
    <w:rsid w:val="00BB2065"/>
    <w:rsid w:val="00BB20F4"/>
    <w:rsid w:val="00BB6980"/>
    <w:rsid w:val="00BD176E"/>
    <w:rsid w:val="00BE6DCF"/>
    <w:rsid w:val="00C072AF"/>
    <w:rsid w:val="00C20068"/>
    <w:rsid w:val="00C213F1"/>
    <w:rsid w:val="00C27FAF"/>
    <w:rsid w:val="00C37107"/>
    <w:rsid w:val="00C4678C"/>
    <w:rsid w:val="00C506AD"/>
    <w:rsid w:val="00C71BF0"/>
    <w:rsid w:val="00C77575"/>
    <w:rsid w:val="00C77E87"/>
    <w:rsid w:val="00C83CDB"/>
    <w:rsid w:val="00CB719A"/>
    <w:rsid w:val="00CC5D20"/>
    <w:rsid w:val="00CD2989"/>
    <w:rsid w:val="00CE2301"/>
    <w:rsid w:val="00CE2B96"/>
    <w:rsid w:val="00CE510B"/>
    <w:rsid w:val="00D00B7E"/>
    <w:rsid w:val="00D06488"/>
    <w:rsid w:val="00D06549"/>
    <w:rsid w:val="00D146DF"/>
    <w:rsid w:val="00D555FC"/>
    <w:rsid w:val="00D705C4"/>
    <w:rsid w:val="00D733FF"/>
    <w:rsid w:val="00D94F0F"/>
    <w:rsid w:val="00DA7289"/>
    <w:rsid w:val="00DD45E3"/>
    <w:rsid w:val="00DF37F5"/>
    <w:rsid w:val="00E068E0"/>
    <w:rsid w:val="00E56A39"/>
    <w:rsid w:val="00E57C64"/>
    <w:rsid w:val="00E939FD"/>
    <w:rsid w:val="00EA0FC0"/>
    <w:rsid w:val="00EB3EEF"/>
    <w:rsid w:val="00ED0B70"/>
    <w:rsid w:val="00ED18AA"/>
    <w:rsid w:val="00F0147B"/>
    <w:rsid w:val="00F13789"/>
    <w:rsid w:val="00F405CF"/>
    <w:rsid w:val="00F86353"/>
    <w:rsid w:val="00F9047F"/>
    <w:rsid w:val="00F94D86"/>
    <w:rsid w:val="00FB3633"/>
    <w:rsid w:val="00FC21F7"/>
    <w:rsid w:val="00FD02E3"/>
    <w:rsid w:val="00FE59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DEE70"/>
  <w15:chartTrackingRefBased/>
  <w15:docId w15:val="{02FC1F7D-6753-4E3D-A1E0-5CF69646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6A6"/>
  </w:style>
  <w:style w:type="paragraph" w:styleId="Heading1">
    <w:name w:val="heading 1"/>
    <w:basedOn w:val="Normal"/>
    <w:next w:val="Normal"/>
    <w:link w:val="Heading1Char"/>
    <w:uiPriority w:val="9"/>
    <w:qFormat/>
    <w:rsid w:val="004E5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6542D9"/>
    <w:pPr>
      <w:keepNext/>
      <w:keepLines/>
      <w:spacing w:before="40" w:after="0" w:line="264" w:lineRule="auto"/>
      <w:outlineLvl w:val="2"/>
    </w:pPr>
    <w:rPr>
      <w:rFonts w:asciiTheme="majorHAnsi" w:eastAsiaTheme="majorEastAsia" w:hAnsiTheme="majorHAnsi" w:cstheme="majorBidi"/>
      <w:color w:val="1F4D78" w:themeColor="accent1" w:themeShade="7F"/>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42D9"/>
    <w:rPr>
      <w:rFonts w:asciiTheme="majorHAnsi" w:eastAsiaTheme="majorEastAsia" w:hAnsiTheme="majorHAnsi" w:cstheme="majorBidi"/>
      <w:color w:val="1F4D78" w:themeColor="accent1" w:themeShade="7F"/>
      <w:sz w:val="24"/>
      <w:szCs w:val="24"/>
      <w:lang w:eastAsia="ja-JP"/>
    </w:rPr>
  </w:style>
  <w:style w:type="table" w:styleId="TableGrid">
    <w:name w:val="Table Grid"/>
    <w:basedOn w:val="TableNormal"/>
    <w:uiPriority w:val="39"/>
    <w:rsid w:val="006542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6542D9"/>
    <w:pPr>
      <w:pBdr>
        <w:bottom w:val="single" w:sz="48" w:space="22" w:color="5B9BD5" w:themeColor="accent1"/>
      </w:pBdr>
      <w:spacing w:after="400" w:line="240" w:lineRule="auto"/>
      <w:contextualSpacing/>
    </w:pPr>
    <w:rPr>
      <w:rFonts w:asciiTheme="majorHAnsi" w:eastAsiaTheme="majorEastAsia" w:hAnsiTheme="majorHAnsi" w:cstheme="majorBidi"/>
      <w:b/>
      <w:color w:val="50637D" w:themeColor="text2" w:themeTint="E6"/>
      <w:kern w:val="28"/>
      <w:sz w:val="60"/>
      <w:szCs w:val="56"/>
      <w:lang w:eastAsia="ja-JP"/>
    </w:rPr>
  </w:style>
  <w:style w:type="character" w:customStyle="1" w:styleId="TitleChar">
    <w:name w:val="Title Char"/>
    <w:basedOn w:val="DefaultParagraphFont"/>
    <w:link w:val="Title"/>
    <w:uiPriority w:val="1"/>
    <w:rsid w:val="006542D9"/>
    <w:rPr>
      <w:rFonts w:asciiTheme="majorHAnsi" w:eastAsiaTheme="majorEastAsia" w:hAnsiTheme="majorHAnsi" w:cstheme="majorBidi"/>
      <w:b/>
      <w:color w:val="50637D" w:themeColor="text2" w:themeTint="E6"/>
      <w:kern w:val="28"/>
      <w:sz w:val="60"/>
      <w:szCs w:val="56"/>
      <w:lang w:eastAsia="ja-JP"/>
    </w:rPr>
  </w:style>
  <w:style w:type="paragraph" w:styleId="ListParagraph">
    <w:name w:val="List Paragraph"/>
    <w:aliases w:val="List Paragraph (numbered (a))"/>
    <w:basedOn w:val="Normal"/>
    <w:link w:val="ListParagraphChar"/>
    <w:uiPriority w:val="1"/>
    <w:qFormat/>
    <w:rsid w:val="006542D9"/>
    <w:pPr>
      <w:spacing w:after="360" w:line="264" w:lineRule="auto"/>
      <w:ind w:left="720"/>
      <w:contextualSpacing/>
    </w:pPr>
    <w:rPr>
      <w:color w:val="657C9C" w:themeColor="text2" w:themeTint="BF"/>
      <w:sz w:val="24"/>
      <w:szCs w:val="24"/>
      <w:lang w:eastAsia="ja-JP"/>
    </w:rPr>
  </w:style>
  <w:style w:type="character" w:customStyle="1" w:styleId="ListParagraphChar">
    <w:name w:val="List Paragraph Char"/>
    <w:aliases w:val="List Paragraph (numbered (a)) Char"/>
    <w:link w:val="ListParagraph"/>
    <w:uiPriority w:val="34"/>
    <w:locked/>
    <w:rsid w:val="00C37107"/>
    <w:rPr>
      <w:color w:val="657C9C" w:themeColor="text2" w:themeTint="BF"/>
      <w:sz w:val="24"/>
      <w:szCs w:val="24"/>
      <w:lang w:eastAsia="ja-JP"/>
    </w:rPr>
  </w:style>
  <w:style w:type="character" w:customStyle="1" w:styleId="ColorfulList-Accent1Char">
    <w:name w:val="Colorful List - Accent 1 Char"/>
    <w:link w:val="ColorfulList-Accent1"/>
    <w:uiPriority w:val="34"/>
    <w:locked/>
    <w:rsid w:val="00C37107"/>
    <w:rPr>
      <w:rFonts w:ascii="Calibri" w:eastAsia="Calibri" w:hAnsi="Calibri" w:cs="Times New Roman"/>
      <w:sz w:val="22"/>
      <w:szCs w:val="22"/>
      <w:lang w:val="en-US" w:eastAsia="en-US"/>
    </w:rPr>
  </w:style>
  <w:style w:type="table" w:styleId="ColorfulList-Accent1">
    <w:name w:val="Colorful List Accent 1"/>
    <w:basedOn w:val="TableNormal"/>
    <w:link w:val="ColorfulList-Accent1Char"/>
    <w:uiPriority w:val="34"/>
    <w:semiHidden/>
    <w:unhideWhenUsed/>
    <w:rsid w:val="00C37107"/>
    <w:pPr>
      <w:spacing w:after="0" w:line="240" w:lineRule="auto"/>
    </w:pPr>
    <w:rPr>
      <w:rFonts w:ascii="Calibri" w:eastAsia="Calibri" w:hAnsi="Calibri" w:cs="Times New Roman"/>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6057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72B"/>
    <w:rPr>
      <w:rFonts w:ascii="Segoe UI" w:hAnsi="Segoe UI" w:cs="Segoe UI"/>
      <w:sz w:val="18"/>
      <w:szCs w:val="18"/>
    </w:rPr>
  </w:style>
  <w:style w:type="character" w:styleId="CommentReference">
    <w:name w:val="annotation reference"/>
    <w:basedOn w:val="DefaultParagraphFont"/>
    <w:uiPriority w:val="99"/>
    <w:semiHidden/>
    <w:unhideWhenUsed/>
    <w:rsid w:val="0060572B"/>
    <w:rPr>
      <w:sz w:val="16"/>
      <w:szCs w:val="16"/>
    </w:rPr>
  </w:style>
  <w:style w:type="paragraph" w:styleId="CommentText">
    <w:name w:val="annotation text"/>
    <w:basedOn w:val="Normal"/>
    <w:link w:val="CommentTextChar"/>
    <w:uiPriority w:val="99"/>
    <w:semiHidden/>
    <w:unhideWhenUsed/>
    <w:rsid w:val="0060572B"/>
    <w:pPr>
      <w:spacing w:line="240" w:lineRule="auto"/>
    </w:pPr>
    <w:rPr>
      <w:sz w:val="20"/>
      <w:szCs w:val="20"/>
    </w:rPr>
  </w:style>
  <w:style w:type="character" w:customStyle="1" w:styleId="CommentTextChar">
    <w:name w:val="Comment Text Char"/>
    <w:basedOn w:val="DefaultParagraphFont"/>
    <w:link w:val="CommentText"/>
    <w:uiPriority w:val="99"/>
    <w:semiHidden/>
    <w:rsid w:val="0060572B"/>
    <w:rPr>
      <w:sz w:val="20"/>
      <w:szCs w:val="20"/>
    </w:rPr>
  </w:style>
  <w:style w:type="paragraph" w:styleId="CommentSubject">
    <w:name w:val="annotation subject"/>
    <w:basedOn w:val="CommentText"/>
    <w:next w:val="CommentText"/>
    <w:link w:val="CommentSubjectChar"/>
    <w:uiPriority w:val="99"/>
    <w:semiHidden/>
    <w:unhideWhenUsed/>
    <w:rsid w:val="0060572B"/>
    <w:rPr>
      <w:b/>
      <w:bCs/>
    </w:rPr>
  </w:style>
  <w:style w:type="character" w:customStyle="1" w:styleId="CommentSubjectChar">
    <w:name w:val="Comment Subject Char"/>
    <w:basedOn w:val="CommentTextChar"/>
    <w:link w:val="CommentSubject"/>
    <w:uiPriority w:val="99"/>
    <w:semiHidden/>
    <w:rsid w:val="0060572B"/>
    <w:rPr>
      <w:b/>
      <w:bCs/>
      <w:sz w:val="20"/>
      <w:szCs w:val="20"/>
    </w:rPr>
  </w:style>
  <w:style w:type="paragraph" w:styleId="Header">
    <w:name w:val="header"/>
    <w:basedOn w:val="Normal"/>
    <w:link w:val="HeaderChar"/>
    <w:uiPriority w:val="99"/>
    <w:unhideWhenUsed/>
    <w:rsid w:val="00420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58B"/>
  </w:style>
  <w:style w:type="paragraph" w:styleId="Footer">
    <w:name w:val="footer"/>
    <w:basedOn w:val="Normal"/>
    <w:link w:val="FooterChar"/>
    <w:uiPriority w:val="99"/>
    <w:unhideWhenUsed/>
    <w:rsid w:val="00420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58B"/>
  </w:style>
  <w:style w:type="character" w:customStyle="1" w:styleId="Heading1Char">
    <w:name w:val="Heading 1 Char"/>
    <w:basedOn w:val="DefaultParagraphFont"/>
    <w:link w:val="Heading1"/>
    <w:uiPriority w:val="9"/>
    <w:rsid w:val="004E5EF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3690658499234305E-2"/>
          <c:y val="9.74025974025974E-3"/>
          <c:w val="0.70137825421133226"/>
          <c:h val="0.57467532467532467"/>
        </c:manualLayout>
      </c:layout>
      <c:barChart>
        <c:barDir val="col"/>
        <c:grouping val="percentStacked"/>
        <c:varyColors val="0"/>
        <c:ser>
          <c:idx val="0"/>
          <c:order val="0"/>
          <c:tx>
            <c:strRef>
              <c:f>Sheet1!$B$1</c:f>
              <c:strCache>
                <c:ptCount val="1"/>
                <c:pt idx="0">
                  <c:v>Achieved</c:v>
                </c:pt>
              </c:strCache>
            </c:strRef>
          </c:tx>
          <c:spPr>
            <a:solidFill>
              <a:srgbClr val="4F81BD"/>
            </a:solidFill>
            <a:ln w="10275">
              <a:noFill/>
            </a:ln>
          </c:spPr>
          <c:invertIfNegative val="0"/>
          <c:cat>
            <c:strRef>
              <c:f>Sheet1!$A$2:$A$9</c:f>
              <c:strCache>
                <c:ptCount val="8"/>
                <c:pt idx="0">
                  <c:v>Management</c:v>
                </c:pt>
                <c:pt idx="1">
                  <c:v>Capacities</c:v>
                </c:pt>
                <c:pt idx="2">
                  <c:v>Enabling Environment</c:v>
                </c:pt>
                <c:pt idx="3">
                  <c:v>Communications</c:v>
                </c:pt>
                <c:pt idx="4">
                  <c:v>Programmes</c:v>
                </c:pt>
                <c:pt idx="5">
                  <c:v>Partnerships</c:v>
                </c:pt>
                <c:pt idx="6">
                  <c:v>Results</c:v>
                </c:pt>
                <c:pt idx="7">
                  <c:v>Total</c:v>
                </c:pt>
              </c:strCache>
            </c:strRef>
          </c:cat>
          <c:val>
            <c:numRef>
              <c:f>Sheet1!$B$2:$B$9</c:f>
              <c:numCache>
                <c:formatCode>General</c:formatCode>
                <c:ptCount val="8"/>
                <c:pt idx="0">
                  <c:v>1</c:v>
                </c:pt>
                <c:pt idx="1">
                  <c:v>0</c:v>
                </c:pt>
                <c:pt idx="2">
                  <c:v>1</c:v>
                </c:pt>
                <c:pt idx="3">
                  <c:v>2</c:v>
                </c:pt>
                <c:pt idx="4">
                  <c:v>1</c:v>
                </c:pt>
                <c:pt idx="5">
                  <c:v>5</c:v>
                </c:pt>
                <c:pt idx="6">
                  <c:v>4</c:v>
                </c:pt>
                <c:pt idx="7">
                  <c:v>14</c:v>
                </c:pt>
              </c:numCache>
            </c:numRef>
          </c:val>
          <c:extLst>
            <c:ext xmlns:c16="http://schemas.microsoft.com/office/drawing/2014/chart" uri="{C3380CC4-5D6E-409C-BE32-E72D297353CC}">
              <c16:uniqueId val="{00000000-5EC9-45D0-9987-A32BDFBD4927}"/>
            </c:ext>
          </c:extLst>
        </c:ser>
        <c:ser>
          <c:idx val="1"/>
          <c:order val="1"/>
          <c:tx>
            <c:strRef>
              <c:f>Sheet1!$C$1</c:f>
              <c:strCache>
                <c:ptCount val="1"/>
                <c:pt idx="0">
                  <c:v>Not Achieved</c:v>
                </c:pt>
              </c:strCache>
            </c:strRef>
          </c:tx>
          <c:spPr>
            <a:solidFill>
              <a:srgbClr val="C0504D"/>
            </a:solidFill>
            <a:ln w="10275">
              <a:noFill/>
            </a:ln>
          </c:spPr>
          <c:invertIfNegative val="0"/>
          <c:cat>
            <c:strRef>
              <c:f>Sheet1!$A$2:$A$9</c:f>
              <c:strCache>
                <c:ptCount val="8"/>
                <c:pt idx="0">
                  <c:v>Management</c:v>
                </c:pt>
                <c:pt idx="1">
                  <c:v>Capacities</c:v>
                </c:pt>
                <c:pt idx="2">
                  <c:v>Enabling Environment</c:v>
                </c:pt>
                <c:pt idx="3">
                  <c:v>Communications</c:v>
                </c:pt>
                <c:pt idx="4">
                  <c:v>Programmes</c:v>
                </c:pt>
                <c:pt idx="5">
                  <c:v>Partnerships</c:v>
                </c:pt>
                <c:pt idx="6">
                  <c:v>Results</c:v>
                </c:pt>
                <c:pt idx="7">
                  <c:v>Total</c:v>
                </c:pt>
              </c:strCache>
            </c:strRef>
          </c:cat>
          <c:val>
            <c:numRef>
              <c:f>Sheet1!$C$2:$C$9</c:f>
              <c:numCache>
                <c:formatCode>General</c:formatCode>
                <c:ptCount val="8"/>
                <c:pt idx="0">
                  <c:v>3</c:v>
                </c:pt>
                <c:pt idx="1">
                  <c:v>6</c:v>
                </c:pt>
                <c:pt idx="2">
                  <c:v>12</c:v>
                </c:pt>
                <c:pt idx="3">
                  <c:v>1</c:v>
                </c:pt>
                <c:pt idx="4">
                  <c:v>6</c:v>
                </c:pt>
                <c:pt idx="5">
                  <c:v>2</c:v>
                </c:pt>
                <c:pt idx="6">
                  <c:v>2</c:v>
                </c:pt>
                <c:pt idx="7">
                  <c:v>32</c:v>
                </c:pt>
              </c:numCache>
            </c:numRef>
          </c:val>
          <c:extLst>
            <c:ext xmlns:c16="http://schemas.microsoft.com/office/drawing/2014/chart" uri="{C3380CC4-5D6E-409C-BE32-E72D297353CC}">
              <c16:uniqueId val="{00000001-5EC9-45D0-9987-A32BDFBD4927}"/>
            </c:ext>
          </c:extLst>
        </c:ser>
        <c:dLbls>
          <c:showLegendKey val="0"/>
          <c:showVal val="0"/>
          <c:showCatName val="0"/>
          <c:showSerName val="0"/>
          <c:showPercent val="0"/>
          <c:showBubbleSize val="0"/>
        </c:dLbls>
        <c:gapWidth val="150"/>
        <c:overlap val="100"/>
        <c:axId val="475271400"/>
        <c:axId val="761704448"/>
      </c:barChart>
      <c:catAx>
        <c:axId val="475271400"/>
        <c:scaling>
          <c:orientation val="minMax"/>
        </c:scaling>
        <c:delete val="0"/>
        <c:axPos val="b"/>
        <c:numFmt formatCode="General" sourceLinked="0"/>
        <c:majorTickMark val="out"/>
        <c:minorTickMark val="none"/>
        <c:tickLblPos val="nextTo"/>
        <c:spPr>
          <a:ln w="1284">
            <a:solidFill>
              <a:srgbClr val="808080"/>
            </a:solidFill>
            <a:prstDash val="solid"/>
          </a:ln>
        </c:spPr>
        <c:txPr>
          <a:bodyPr rot="-2700000" vert="horz"/>
          <a:lstStyle/>
          <a:p>
            <a:pPr>
              <a:defRPr sz="566"/>
            </a:pPr>
            <a:endParaRPr lang="en-US"/>
          </a:p>
        </c:txPr>
        <c:crossAx val="761704448"/>
        <c:crosses val="autoZero"/>
        <c:auto val="1"/>
        <c:lblAlgn val="ctr"/>
        <c:lblOffset val="100"/>
        <c:noMultiLvlLbl val="0"/>
      </c:catAx>
      <c:valAx>
        <c:axId val="761704448"/>
        <c:scaling>
          <c:orientation val="minMax"/>
        </c:scaling>
        <c:delete val="0"/>
        <c:axPos val="l"/>
        <c:majorGridlines>
          <c:spPr>
            <a:ln w="1284">
              <a:solidFill>
                <a:srgbClr val="808080"/>
              </a:solidFill>
              <a:prstDash val="solid"/>
            </a:ln>
          </c:spPr>
        </c:majorGridlines>
        <c:numFmt formatCode="0%" sourceLinked="1"/>
        <c:majorTickMark val="out"/>
        <c:minorTickMark val="none"/>
        <c:tickLblPos val="nextTo"/>
        <c:spPr>
          <a:ln w="1284">
            <a:solidFill>
              <a:srgbClr val="808080"/>
            </a:solidFill>
            <a:prstDash val="solid"/>
          </a:ln>
        </c:spPr>
        <c:crossAx val="475271400"/>
        <c:crosses val="autoZero"/>
        <c:crossBetween val="between"/>
      </c:valAx>
      <c:spPr>
        <a:solidFill>
          <a:srgbClr val="FFFFFF"/>
        </a:solidFill>
        <a:ln w="10275">
          <a:noFill/>
        </a:ln>
      </c:spPr>
    </c:plotArea>
    <c:legend>
      <c:legendPos val="r"/>
      <c:layout>
        <c:manualLayout>
          <c:xMode val="edge"/>
          <c:yMode val="edge"/>
          <c:x val="0.79467258601553825"/>
          <c:y val="0.25657894736842107"/>
          <c:w val="0.13536134224356708"/>
          <c:h val="0.42306134299584236"/>
        </c:manualLayout>
      </c:layout>
      <c:overlay val="0"/>
      <c:spPr>
        <a:noFill/>
        <a:ln w="10275">
          <a:noFill/>
        </a:ln>
      </c:spPr>
    </c:legend>
    <c:plotVisOnly val="1"/>
    <c:dispBlanksAs val="gap"/>
    <c:showDLblsOverMax val="0"/>
  </c:chart>
  <c:spPr>
    <a:solidFill>
      <a:srgbClr val="FFFFFF"/>
    </a:solidFill>
    <a:ln w="1284">
      <a:solidFill>
        <a:srgbClr val="808080"/>
      </a:solidFill>
      <a:prstDash val="solid"/>
    </a:ln>
  </c:spPr>
  <c:txPr>
    <a:bodyPr/>
    <a:lstStyle/>
    <a:p>
      <a:pPr>
        <a:defRPr sz="728"/>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2482</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Muoio</dc:creator>
  <cp:keywords/>
  <dc:description/>
  <cp:lastModifiedBy>Joanna Hill</cp:lastModifiedBy>
  <cp:revision>2</cp:revision>
  <cp:lastPrinted>2017-03-29T16:11:00Z</cp:lastPrinted>
  <dcterms:created xsi:type="dcterms:W3CDTF">2020-09-03T17:30:00Z</dcterms:created>
  <dcterms:modified xsi:type="dcterms:W3CDTF">2020-09-03T17:30:00Z</dcterms:modified>
</cp:coreProperties>
</file>