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7C" w:rsidRPr="005A58DD" w:rsidRDefault="00B1317C" w:rsidP="00B1317C">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5A58DD">
        <w:rPr>
          <w:rFonts w:ascii="Arial" w:eastAsia="Times New Roman" w:hAnsi="Arial" w:cs="Arial"/>
          <w:b/>
          <w:color w:val="343434"/>
          <w:sz w:val="21"/>
          <w:szCs w:val="21"/>
        </w:rPr>
        <w:t>What kinds of digital solutions are being deployed?</w:t>
      </w:r>
    </w:p>
    <w:p w:rsidR="00B1317C" w:rsidRDefault="00B1317C" w:rsidP="00B1317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Verification – double-checking the sources of information, seeking primary evidence from eye witnesses or double checking facts and figures and serves as an overall way of quality control for a new outlet content before publication</w:t>
      </w:r>
    </w:p>
    <w:p w:rsidR="005A58DD" w:rsidRDefault="00B1317C" w:rsidP="00B1317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 xml:space="preserve">Fact-checking </w:t>
      </w:r>
      <w:r w:rsidR="005A58DD">
        <w:rPr>
          <w:rFonts w:ascii="Arial" w:eastAsia="Times New Roman" w:hAnsi="Arial" w:cs="Arial"/>
          <w:color w:val="343434"/>
          <w:sz w:val="21"/>
          <w:szCs w:val="21"/>
        </w:rPr>
        <w:t>–</w:t>
      </w:r>
      <w:r>
        <w:rPr>
          <w:rFonts w:ascii="Arial" w:eastAsia="Times New Roman" w:hAnsi="Arial" w:cs="Arial"/>
          <w:color w:val="343434"/>
          <w:sz w:val="21"/>
          <w:szCs w:val="21"/>
        </w:rPr>
        <w:t xml:space="preserve"> </w:t>
      </w:r>
      <w:r w:rsidR="005A58DD">
        <w:rPr>
          <w:rFonts w:ascii="Arial" w:eastAsia="Times New Roman" w:hAnsi="Arial" w:cs="Arial"/>
          <w:color w:val="343434"/>
          <w:sz w:val="21"/>
          <w:szCs w:val="21"/>
        </w:rPr>
        <w:t>happens after publication. This form of “ex post” fact checking seeks to make public figures and the media accountable for the truthfulness of their statements</w:t>
      </w:r>
    </w:p>
    <w:p w:rsidR="005A58DD" w:rsidRDefault="005A58DD" w:rsidP="00B1317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 xml:space="preserve">Debunking – this means publishing the evidence that proves and demonstrated falsehoods and often by explaining for the press involved in reaching this conclusion. </w:t>
      </w:r>
    </w:p>
    <w:p w:rsidR="00B1317C" w:rsidRPr="00B1317C" w:rsidRDefault="005A58DD" w:rsidP="00B1317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Electoral-related media monitoring – establishing and managing a well-organized program for surveying the news and the electoral related content disseminated on social media</w:t>
      </w:r>
      <w:r w:rsidR="00B1317C" w:rsidRPr="00B1317C">
        <w:rPr>
          <w:rFonts w:ascii="Arial" w:eastAsia="Times New Roman" w:hAnsi="Arial" w:cs="Arial"/>
          <w:color w:val="343434"/>
          <w:sz w:val="21"/>
          <w:szCs w:val="21"/>
        </w:rPr>
        <w:br/>
        <w:t> </w:t>
      </w:r>
    </w:p>
    <w:p w:rsidR="00B1317C" w:rsidRPr="005A58DD" w:rsidRDefault="00B1317C" w:rsidP="00B1317C">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5A58DD">
        <w:rPr>
          <w:rFonts w:ascii="Arial" w:eastAsia="Times New Roman" w:hAnsi="Arial" w:cs="Arial"/>
          <w:b/>
          <w:color w:val="343434"/>
          <w:sz w:val="21"/>
          <w:szCs w:val="21"/>
        </w:rPr>
        <w:t>What are the benefits and risks of digital tools to counter disinformation in an electoral setting?</w:t>
      </w:r>
      <w:r w:rsidRPr="00B1317C">
        <w:rPr>
          <w:rFonts w:ascii="Arial" w:eastAsia="Times New Roman" w:hAnsi="Arial" w:cs="Arial"/>
          <w:b/>
          <w:color w:val="343434"/>
          <w:sz w:val="21"/>
          <w:szCs w:val="21"/>
        </w:rPr>
        <w:br/>
        <w:t> </w:t>
      </w:r>
    </w:p>
    <w:p w:rsidR="005A58DD" w:rsidRDefault="005A58DD" w:rsidP="005A58D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Flagging – online platforms usually allow mechanisms for users and internal processes to flag unlawful, offensive or violent content</w:t>
      </w:r>
    </w:p>
    <w:p w:rsidR="005A58DD" w:rsidRDefault="005A58DD" w:rsidP="005A58D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Labeling – allows users to identify paid advertisement particularly important when it is related to political propaganda</w:t>
      </w:r>
    </w:p>
    <w:p w:rsidR="005A58DD" w:rsidRPr="005A58DD" w:rsidRDefault="005A58DD" w:rsidP="005A58DD">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Black listing – can imply even removing a particular user from a social media platform. Very contended as it can collide with the freedom of expression and the right to information.</w:t>
      </w:r>
    </w:p>
    <w:p w:rsidR="00B1317C" w:rsidRPr="005A58DD" w:rsidRDefault="00B1317C" w:rsidP="00B1317C">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5A58DD">
        <w:rPr>
          <w:rFonts w:ascii="Arial" w:eastAsia="Times New Roman" w:hAnsi="Arial" w:cs="Arial"/>
          <w:b/>
          <w:color w:val="343434"/>
          <w:sz w:val="21"/>
          <w:szCs w:val="21"/>
        </w:rPr>
        <w:t>What are the recommendations for effectively deploying digital tools into existing information/election landscapes?</w:t>
      </w:r>
      <w:r w:rsidRPr="00B1317C">
        <w:rPr>
          <w:rFonts w:ascii="Arial" w:eastAsia="Times New Roman" w:hAnsi="Arial" w:cs="Arial"/>
          <w:b/>
          <w:color w:val="343434"/>
          <w:sz w:val="21"/>
          <w:szCs w:val="21"/>
        </w:rPr>
        <w:br/>
        <w:t> </w:t>
      </w:r>
    </w:p>
    <w:p w:rsidR="005A58DD" w:rsidRDefault="005A58DD" w:rsidP="005A58DD">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 xml:space="preserve">Regulations of online contents during electoral period. </w:t>
      </w:r>
    </w:p>
    <w:p w:rsidR="005A58DD" w:rsidRDefault="005A58DD" w:rsidP="005A58DD">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 xml:space="preserve">Censorship </w:t>
      </w:r>
      <w:r w:rsidR="00FA7127">
        <w:rPr>
          <w:rFonts w:ascii="Arial" w:eastAsia="Times New Roman" w:hAnsi="Arial" w:cs="Arial"/>
          <w:color w:val="343434"/>
          <w:sz w:val="21"/>
          <w:szCs w:val="21"/>
        </w:rPr>
        <w:t>–</w:t>
      </w:r>
      <w:r>
        <w:rPr>
          <w:rFonts w:ascii="Arial" w:eastAsia="Times New Roman" w:hAnsi="Arial" w:cs="Arial"/>
          <w:color w:val="343434"/>
          <w:sz w:val="21"/>
          <w:szCs w:val="21"/>
        </w:rPr>
        <w:t xml:space="preserve"> </w:t>
      </w:r>
      <w:r w:rsidR="00FA7127">
        <w:rPr>
          <w:rFonts w:ascii="Arial" w:eastAsia="Times New Roman" w:hAnsi="Arial" w:cs="Arial"/>
          <w:color w:val="343434"/>
          <w:sz w:val="21"/>
          <w:szCs w:val="21"/>
        </w:rPr>
        <w:t>any attempt to regulate online content should balance the rights to freedom of expression and access to information with the protection of other civil and political rights such as the right to political participation, privacy and freedom from discrimination.</w:t>
      </w:r>
    </w:p>
    <w:p w:rsidR="00FA7127" w:rsidRPr="005A58DD" w:rsidRDefault="00FA7127" w:rsidP="005A58DD">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Self-regulation – a mechanism of voluntarily compliance as sector or industry level where legislation does not necessarily play role in entering the standards</w:t>
      </w:r>
    </w:p>
    <w:p w:rsidR="00B1317C" w:rsidRPr="00B1317C" w:rsidRDefault="00B1317C" w:rsidP="00B1317C">
      <w:pPr>
        <w:numPr>
          <w:ilvl w:val="0"/>
          <w:numId w:val="1"/>
        </w:numPr>
        <w:shd w:val="clear" w:color="auto" w:fill="FFFFFF"/>
        <w:spacing w:before="100" w:beforeAutospacing="1" w:after="100" w:afterAutospacing="1" w:line="240" w:lineRule="auto"/>
        <w:rPr>
          <w:rFonts w:ascii="Arial" w:eastAsia="Times New Roman" w:hAnsi="Arial" w:cs="Arial"/>
          <w:b/>
          <w:color w:val="343434"/>
          <w:sz w:val="21"/>
          <w:szCs w:val="21"/>
        </w:rPr>
      </w:pPr>
      <w:r w:rsidRPr="00FA7127">
        <w:rPr>
          <w:rFonts w:ascii="Arial" w:eastAsia="Times New Roman" w:hAnsi="Arial" w:cs="Arial"/>
          <w:b/>
          <w:color w:val="343434"/>
          <w:sz w:val="21"/>
          <w:szCs w:val="21"/>
        </w:rPr>
        <w:t>How do we understand and measure impact of digital interventions and responses?</w:t>
      </w:r>
    </w:p>
    <w:p w:rsidR="00071657" w:rsidRDefault="00FA7127" w:rsidP="00FA7127">
      <w:pPr>
        <w:pStyle w:val="ListParagraph"/>
        <w:numPr>
          <w:ilvl w:val="0"/>
          <w:numId w:val="5"/>
        </w:numPr>
      </w:pPr>
      <w:r>
        <w:t>Set the expected outcomes</w:t>
      </w:r>
    </w:p>
    <w:p w:rsidR="00FA7127" w:rsidRDefault="00FA7127" w:rsidP="00FA7127">
      <w:pPr>
        <w:pStyle w:val="ListParagraph"/>
        <w:numPr>
          <w:ilvl w:val="0"/>
          <w:numId w:val="5"/>
        </w:numPr>
      </w:pPr>
      <w:r>
        <w:t xml:space="preserve">Develop a code of practice </w:t>
      </w:r>
    </w:p>
    <w:p w:rsidR="00FA7127" w:rsidRDefault="00FA7127" w:rsidP="00FA7127">
      <w:pPr>
        <w:pStyle w:val="ListParagraph"/>
        <w:numPr>
          <w:ilvl w:val="0"/>
          <w:numId w:val="5"/>
        </w:numPr>
      </w:pPr>
      <w:r>
        <w:t>Review and make public “the way industry has or has not met the standard”</w:t>
      </w:r>
    </w:p>
    <w:p w:rsidR="00FA7127" w:rsidRDefault="00FA7127" w:rsidP="00FA7127">
      <w:pPr>
        <w:pStyle w:val="ListParagraph"/>
        <w:numPr>
          <w:ilvl w:val="0"/>
          <w:numId w:val="5"/>
        </w:numPr>
      </w:pPr>
      <w:r>
        <w:t>Ensuring transparency of political advertising</w:t>
      </w:r>
    </w:p>
    <w:p w:rsidR="00FA7127" w:rsidRDefault="00FA7127" w:rsidP="00FA7127">
      <w:pPr>
        <w:pStyle w:val="ListParagraph"/>
        <w:ind w:left="1800"/>
      </w:pPr>
      <w:bookmarkStart w:id="0" w:name="_GoBack"/>
      <w:bookmarkEnd w:id="0"/>
    </w:p>
    <w:sectPr w:rsidR="00FA7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5E4A"/>
    <w:multiLevelType w:val="hybridMultilevel"/>
    <w:tmpl w:val="30A819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617FB2"/>
    <w:multiLevelType w:val="hybridMultilevel"/>
    <w:tmpl w:val="3120E6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BD0CBE"/>
    <w:multiLevelType w:val="hybridMultilevel"/>
    <w:tmpl w:val="0358B3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442117"/>
    <w:multiLevelType w:val="hybridMultilevel"/>
    <w:tmpl w:val="5314A9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B4A1187"/>
    <w:multiLevelType w:val="multilevel"/>
    <w:tmpl w:val="497E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7C"/>
    <w:rsid w:val="00071657"/>
    <w:rsid w:val="005A58DD"/>
    <w:rsid w:val="00B1317C"/>
    <w:rsid w:val="00FA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17C"/>
    <w:rPr>
      <w:b/>
      <w:bCs/>
    </w:rPr>
  </w:style>
  <w:style w:type="paragraph" w:styleId="ListParagraph">
    <w:name w:val="List Paragraph"/>
    <w:basedOn w:val="Normal"/>
    <w:uiPriority w:val="34"/>
    <w:qFormat/>
    <w:rsid w:val="00B13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17C"/>
    <w:rPr>
      <w:b/>
      <w:bCs/>
    </w:rPr>
  </w:style>
  <w:style w:type="paragraph" w:styleId="ListParagraph">
    <w:name w:val="List Paragraph"/>
    <w:basedOn w:val="Normal"/>
    <w:uiPriority w:val="34"/>
    <w:qFormat/>
    <w:rsid w:val="00B1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comelec</dc:creator>
  <cp:lastModifiedBy>comelec</cp:lastModifiedBy>
  <cp:revision>1</cp:revision>
  <dcterms:created xsi:type="dcterms:W3CDTF">2022-11-05T05:44:00Z</dcterms:created>
  <dcterms:modified xsi:type="dcterms:W3CDTF">2022-11-05T06:10:00Z</dcterms:modified>
</cp:coreProperties>
</file>