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7FCCF" w14:textId="5C3FEA30" w:rsidR="003A263E" w:rsidRDefault="003A263E">
      <w:bookmarkStart w:id="0" w:name="_GoBack"/>
      <w:bookmarkEnd w:id="0"/>
    </w:p>
    <w:sdt>
      <w:sdtPr>
        <w:id w:val="1984048805"/>
        <w:docPartObj>
          <w:docPartGallery w:val="Cover Pages"/>
          <w:docPartUnique/>
        </w:docPartObj>
      </w:sdtPr>
      <w:sdtEndPr>
        <w:rPr>
          <w:noProof/>
        </w:rPr>
      </w:sdtEndPr>
      <w:sdtContent>
        <w:p w14:paraId="40912A00" w14:textId="1B080F4D" w:rsidR="00A84D6A" w:rsidRDefault="00AF2205">
          <w:r w:rsidRPr="00D720E5">
            <w:rPr>
              <w:noProof/>
              <w:lang w:bidi="ar-SA"/>
            </w:rPr>
            <w:drawing>
              <wp:anchor distT="0" distB="0" distL="114300" distR="114300" simplePos="0" relativeHeight="251658240" behindDoc="1" locked="0" layoutInCell="1" allowOverlap="1" wp14:anchorId="61593737" wp14:editId="037790E3">
                <wp:simplePos x="0" y="0"/>
                <wp:positionH relativeFrom="margin">
                  <wp:align>center</wp:align>
                </wp:positionH>
                <wp:positionV relativeFrom="paragraph">
                  <wp:posOffset>4482</wp:posOffset>
                </wp:positionV>
                <wp:extent cx="4129405" cy="2752725"/>
                <wp:effectExtent l="0" t="0" r="4445" b="9525"/>
                <wp:wrapTight wrapText="bothSides">
                  <wp:wrapPolygon edited="0">
                    <wp:start x="0" y="0"/>
                    <wp:lineTo x="0" y="21525"/>
                    <wp:lineTo x="21524" y="21525"/>
                    <wp:lineTo x="215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9405" cy="2752725"/>
                        </a:xfrm>
                        <a:prstGeom prst="rect">
                          <a:avLst/>
                        </a:prstGeom>
                      </pic:spPr>
                    </pic:pic>
                  </a:graphicData>
                </a:graphic>
              </wp:anchor>
            </w:drawing>
          </w:r>
        </w:p>
        <w:p w14:paraId="1C051F23" w14:textId="31593DBA" w:rsidR="00A84D6A" w:rsidRDefault="007428BB">
          <w:pPr>
            <w:rPr>
              <w:noProof/>
            </w:rPr>
          </w:pPr>
          <w:r>
            <w:rPr>
              <w:noProof/>
              <w:lang w:bidi="ar-SA"/>
            </w:rPr>
            <mc:AlternateContent>
              <mc:Choice Requires="wpg">
                <w:drawing>
                  <wp:anchor distT="0" distB="0" distL="114300" distR="114300" simplePos="0" relativeHeight="251653120" behindDoc="1" locked="0" layoutInCell="1" allowOverlap="1" wp14:anchorId="5A331912" wp14:editId="1CFDF669">
                    <wp:simplePos x="0" y="0"/>
                    <wp:positionH relativeFrom="page">
                      <wp:posOffset>511791</wp:posOffset>
                    </wp:positionH>
                    <wp:positionV relativeFrom="page">
                      <wp:posOffset>1637665</wp:posOffset>
                    </wp:positionV>
                    <wp:extent cx="6960235" cy="8091170"/>
                    <wp:effectExtent l="0" t="0" r="0" b="5080"/>
                    <wp:wrapNone/>
                    <wp:docPr id="119" name="Group 119"/>
                    <wp:cNvGraphicFramePr/>
                    <a:graphic xmlns:a="http://schemas.openxmlformats.org/drawingml/2006/main">
                      <a:graphicData uri="http://schemas.microsoft.com/office/word/2010/wordprocessingGroup">
                        <wpg:wgp>
                          <wpg:cNvGrpSpPr/>
                          <wpg:grpSpPr>
                            <a:xfrm>
                              <a:off x="0" y="0"/>
                              <a:ext cx="6960235" cy="8091170"/>
                              <a:chOff x="0" y="1180531"/>
                              <a:chExt cx="6960358" cy="8091219"/>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3412BAD" w14:textId="67D2577D" w:rsidR="00C761F3" w:rsidRDefault="00C761F3">
                                      <w:pPr>
                                        <w:pStyle w:val="NoSpacing"/>
                                        <w:rPr>
                                          <w:color w:val="FFFFFF" w:themeColor="background1"/>
                                          <w:sz w:val="32"/>
                                          <w:szCs w:val="32"/>
                                        </w:rPr>
                                      </w:pPr>
                                      <w:r>
                                        <w:rPr>
                                          <w:color w:val="FFFFFF" w:themeColor="background1"/>
                                          <w:sz w:val="32"/>
                                          <w:szCs w:val="32"/>
                                        </w:rPr>
                                        <w:t>CLIMATE CHANGE AND DISASTER RISK REDUCTION TEAM, BPPS</w:t>
                                      </w:r>
                                    </w:p>
                                  </w:sdtContent>
                                </w:sdt>
                                <w:p w14:paraId="72CC0103" w14:textId="77777777" w:rsidR="00C761F3" w:rsidRDefault="00C761F3">
                                  <w:pPr>
                                    <w:pStyle w:val="NoSpacing"/>
                                    <w:rPr>
                                      <w:caps/>
                                      <w:color w:val="FFFFFF" w:themeColor="background1"/>
                                    </w:rPr>
                                  </w:pPr>
                                </w:p>
                                <w:p w14:paraId="167E698B" w14:textId="5607581C" w:rsidR="00C761F3" w:rsidRDefault="00C761F3">
                                  <w:pPr>
                                    <w:pStyle w:val="NoSpacing"/>
                                    <w:rPr>
                                      <w:caps/>
                                      <w:color w:val="FFFFFF" w:themeColor="background1"/>
                                    </w:rPr>
                                  </w:pPr>
                                  <w:r>
                                    <w:rPr>
                                      <w:caps/>
                                      <w:color w:val="FFFFFF" w:themeColor="background1"/>
                                    </w:rPr>
                                    <w:t>United nations Development programme</w:t>
                                  </w:r>
                                </w:p>
                                <w:p w14:paraId="5BE1EFCC" w14:textId="77777777" w:rsidR="00C761F3" w:rsidRDefault="00C761F3" w:rsidP="007428BB">
                                  <w:pPr>
                                    <w:pStyle w:val="NoSpacing"/>
                                    <w:ind w:left="7200" w:firstLine="720"/>
                                    <w:jc w:val="both"/>
                                    <w:rPr>
                                      <w:i/>
                                      <w:caps/>
                                      <w:color w:val="FFFFFF" w:themeColor="background1"/>
                                    </w:rPr>
                                  </w:pPr>
                                </w:p>
                                <w:p w14:paraId="32F7F0AD" w14:textId="77777777" w:rsidR="00C761F3" w:rsidRDefault="00C761F3" w:rsidP="007428BB">
                                  <w:pPr>
                                    <w:pStyle w:val="NoSpacing"/>
                                    <w:ind w:left="7200" w:firstLine="720"/>
                                    <w:jc w:val="both"/>
                                    <w:rPr>
                                      <w:i/>
                                      <w:caps/>
                                      <w:color w:val="FFFFFF" w:themeColor="background1"/>
                                    </w:rPr>
                                  </w:pPr>
                                </w:p>
                                <w:p w14:paraId="53E9A5B2" w14:textId="6CD8F902" w:rsidR="00C761F3" w:rsidRPr="007428BB" w:rsidRDefault="00C761F3" w:rsidP="007428BB">
                                  <w:pPr>
                                    <w:pStyle w:val="NoSpacing"/>
                                    <w:ind w:left="7200" w:firstLine="720"/>
                                    <w:jc w:val="both"/>
                                    <w:rPr>
                                      <w:i/>
                                      <w:caps/>
                                      <w:color w:val="FFFFFF" w:themeColor="background1"/>
                                    </w:rPr>
                                  </w:pPr>
                                  <w:r>
                                    <w:rPr>
                                      <w:i/>
                                      <w:caps/>
                                      <w:color w:val="FFFFFF" w:themeColor="background1"/>
                                    </w:rPr>
                                    <w:t>May, 2016</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102358" y="1180531"/>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ED7D31" w:themeColor="accent2"/>
                                      <w:sz w:val="56"/>
                                      <w:szCs w:val="56"/>
                                    </w:rPr>
                                    <w:alias w:val="Title"/>
                                    <w:tag w:val=""/>
                                    <w:id w:val="-733621039"/>
                                    <w:dataBinding w:prefixMappings="xmlns:ns0='http://purl.org/dc/elements/1.1/' xmlns:ns1='http://schemas.openxmlformats.org/package/2006/metadata/core-properties' " w:xpath="/ns1:coreProperties[1]/ns0:title[1]" w:storeItemID="{6C3C8BC8-F283-45AE-878A-BAB7291924A1}"/>
                                    <w:text/>
                                  </w:sdtPr>
                                  <w:sdtEndPr/>
                                  <w:sdtContent>
                                    <w:p w14:paraId="5BF772FF" w14:textId="5354E444" w:rsidR="00C761F3" w:rsidRDefault="00C761F3" w:rsidP="00AF2205">
                                      <w:pPr>
                                        <w:pStyle w:val="NoSpacing"/>
                                        <w:pBdr>
                                          <w:bottom w:val="single" w:sz="6" w:space="4" w:color="7F7F7F" w:themeColor="text1" w:themeTint="80"/>
                                        </w:pBdr>
                                        <w:jc w:val="center"/>
                                        <w:rPr>
                                          <w:rFonts w:asciiTheme="majorHAnsi" w:eastAsiaTheme="majorEastAsia" w:hAnsiTheme="majorHAnsi" w:cstheme="majorBidi"/>
                                          <w:b/>
                                          <w:bCs/>
                                          <w:i/>
                                          <w:iCs/>
                                          <w:color w:val="ED7D31" w:themeColor="accent2"/>
                                          <w:sz w:val="56"/>
                                          <w:szCs w:val="56"/>
                                        </w:rPr>
                                      </w:pPr>
                                      <w:r>
                                        <w:rPr>
                                          <w:rFonts w:asciiTheme="majorHAnsi" w:eastAsiaTheme="majorEastAsia" w:hAnsiTheme="majorHAnsi" w:cstheme="majorBidi"/>
                                          <w:color w:val="ED7D31" w:themeColor="accent2"/>
                                          <w:sz w:val="56"/>
                                          <w:szCs w:val="56"/>
                                        </w:rPr>
                                        <w:t>RISK INFORMED DEVELOPMENT</w:t>
                                      </w:r>
                                    </w:p>
                                  </w:sdtContent>
                                </w:sdt>
                                <w:p w14:paraId="4955C9E9" w14:textId="77777777" w:rsidR="00C761F3" w:rsidRDefault="00C761F3" w:rsidP="00AF2205">
                                  <w:pPr>
                                    <w:pStyle w:val="NoSpacing"/>
                                    <w:spacing w:before="240"/>
                                    <w:ind w:left="720"/>
                                    <w:jc w:val="center"/>
                                    <w:rPr>
                                      <w:caps/>
                                      <w:color w:val="44546A" w:themeColor="text2"/>
                                      <w:sz w:val="36"/>
                                      <w:szCs w:val="36"/>
                                    </w:rPr>
                                  </w:pPr>
                                  <w:r w:rsidRPr="00B5441C">
                                    <w:rPr>
                                      <w:caps/>
                                      <w:color w:val="44546A" w:themeColor="text2"/>
                                      <w:sz w:val="36"/>
                                      <w:szCs w:val="36"/>
                                    </w:rPr>
                                    <w:t xml:space="preserve">A </w:t>
                                  </w:r>
                                  <w:r>
                                    <w:rPr>
                                      <w:caps/>
                                      <w:color w:val="44546A" w:themeColor="text2"/>
                                      <w:sz w:val="36"/>
                                      <w:szCs w:val="36"/>
                                    </w:rPr>
                                    <w:t xml:space="preserve">TOOL FOR </w:t>
                                  </w:r>
                                </w:p>
                                <w:p w14:paraId="737F69A6" w14:textId="77777777" w:rsidR="00C761F3" w:rsidRDefault="00C761F3" w:rsidP="00AF2205">
                                  <w:pPr>
                                    <w:pStyle w:val="NoSpacing"/>
                                    <w:spacing w:before="240"/>
                                    <w:ind w:left="720"/>
                                    <w:jc w:val="center"/>
                                    <w:rPr>
                                      <w:caps/>
                                      <w:color w:val="44546A" w:themeColor="text2"/>
                                      <w:sz w:val="36"/>
                                      <w:szCs w:val="36"/>
                                    </w:rPr>
                                  </w:pPr>
                                  <w:r>
                                    <w:rPr>
                                      <w:caps/>
                                      <w:color w:val="44546A" w:themeColor="text2"/>
                                      <w:sz w:val="36"/>
                                      <w:szCs w:val="36"/>
                                    </w:rPr>
                                    <w:t xml:space="preserve">MAINSTREAMING DISASTER Risk reduction AND CLIMATE Change Adaptation into development  </w:t>
                                  </w:r>
                                </w:p>
                                <w:p w14:paraId="645576C7" w14:textId="19BD74BC" w:rsidR="00C761F3" w:rsidRPr="00B5441C" w:rsidRDefault="00C761F3" w:rsidP="00AF2205">
                                  <w:pPr>
                                    <w:pStyle w:val="NoSpacing"/>
                                    <w:spacing w:before="240"/>
                                    <w:ind w:left="720"/>
                                    <w:jc w:val="center"/>
                                    <w:rPr>
                                      <w:caps/>
                                      <w:color w:val="44546A" w:themeColor="text2"/>
                                      <w:sz w:val="36"/>
                                      <w:szCs w:val="36"/>
                                    </w:rPr>
                                  </w:pPr>
                                  <w:r>
                                    <w:rPr>
                                      <w:i/>
                                      <w:caps/>
                                      <w:color w:val="808080" w:themeColor="background1" w:themeShade="80"/>
                                      <w:sz w:val="36"/>
                                      <w:szCs w:val="36"/>
                                      <w:highlight w:val="yellow"/>
                                    </w:rPr>
                                    <w:t>[ need to Finalize TITLE</w:t>
                                  </w:r>
                                  <w:r w:rsidRPr="00B5441C">
                                    <w:rPr>
                                      <w:i/>
                                      <w:caps/>
                                      <w:color w:val="808080" w:themeColor="background1" w:themeShade="80"/>
                                      <w:sz w:val="36"/>
                                      <w:szCs w:val="36"/>
                                      <w:highlight w:val="yellow"/>
                                    </w:rPr>
                                    <w:t>]</w:t>
                                  </w:r>
                                </w:p>
                                <w:p w14:paraId="520410A5" w14:textId="77777777" w:rsidR="00C761F3" w:rsidRDefault="00C761F3" w:rsidP="007428BB">
                                  <w:pPr>
                                    <w:pStyle w:val="NoSpacing"/>
                                    <w:spacing w:before="240"/>
                                    <w:jc w:val="center"/>
                                    <w:rPr>
                                      <w:caps/>
                                      <w:color w:val="44546A" w:themeColor="text2"/>
                                      <w:sz w:val="36"/>
                                      <w:szCs w:val="36"/>
                                    </w:rPr>
                                  </w:pPr>
                                </w:p>
                                <w:p w14:paraId="07FDD59F" w14:textId="54B61BB7" w:rsidR="00C761F3" w:rsidRPr="00B5441C" w:rsidRDefault="00C761F3" w:rsidP="007428BB">
                                  <w:pPr>
                                    <w:pStyle w:val="NoSpacing"/>
                                    <w:spacing w:before="240"/>
                                    <w:jc w:val="center"/>
                                    <w:rPr>
                                      <w:i/>
                                      <w:caps/>
                                      <w:color w:val="808080" w:themeColor="background1" w:themeShade="80"/>
                                      <w:sz w:val="36"/>
                                      <w:szCs w:val="36"/>
                                    </w:rPr>
                                  </w:pPr>
                                  <w:r>
                                    <w:rPr>
                                      <w:i/>
                                      <w:caps/>
                                      <w:color w:val="808080" w:themeColor="background1" w:themeShade="80"/>
                                      <w:sz w:val="36"/>
                                      <w:szCs w:val="36"/>
                                    </w:rPr>
                                    <w:t xml:space="preserve">PRELIMINARY </w:t>
                                  </w:r>
                                  <w:r w:rsidRPr="00B5441C">
                                    <w:rPr>
                                      <w:i/>
                                      <w:caps/>
                                      <w:color w:val="808080" w:themeColor="background1" w:themeShade="80"/>
                                      <w:sz w:val="36"/>
                                      <w:szCs w:val="36"/>
                                    </w:rPr>
                                    <w:t>DRAFT (REV 1)</w:t>
                                  </w:r>
                                  <w:r>
                                    <w:rPr>
                                      <w:i/>
                                      <w:caps/>
                                      <w:color w:val="808080" w:themeColor="background1" w:themeShade="80"/>
                                      <w:sz w:val="36"/>
                                      <w:szCs w:val="36"/>
                                    </w:rPr>
                                    <w:t xml:space="preserve">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331912" id="Group 119" o:spid="_x0000_s1026" style="position:absolute;margin-left:40.3pt;margin-top:128.95pt;width:548.05pt;height:637.1pt;z-index:-251663360;mso-position-horizontal-relative:page;mso-position-vertical-relative:page" coordorigin=",11805" coordsize="69603,8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53412BAD" w14:textId="67D2577D" w:rsidR="00C761F3" w:rsidRDefault="00C761F3">
                                <w:pPr>
                                  <w:pStyle w:val="NoSpacing"/>
                                  <w:rPr>
                                    <w:color w:val="FFFFFF" w:themeColor="background1"/>
                                    <w:sz w:val="32"/>
                                    <w:szCs w:val="32"/>
                                  </w:rPr>
                                </w:pPr>
                                <w:r>
                                  <w:rPr>
                                    <w:color w:val="FFFFFF" w:themeColor="background1"/>
                                    <w:sz w:val="32"/>
                                    <w:szCs w:val="32"/>
                                  </w:rPr>
                                  <w:t>CLIMATE CHANGE AND DISASTER RISK REDUCTION TEAM, BPPS</w:t>
                                </w:r>
                              </w:p>
                            </w:sdtContent>
                          </w:sdt>
                          <w:p w14:paraId="72CC0103" w14:textId="77777777" w:rsidR="00C761F3" w:rsidRDefault="00C761F3">
                            <w:pPr>
                              <w:pStyle w:val="NoSpacing"/>
                              <w:rPr>
                                <w:caps/>
                                <w:color w:val="FFFFFF" w:themeColor="background1"/>
                              </w:rPr>
                            </w:pPr>
                          </w:p>
                          <w:p w14:paraId="167E698B" w14:textId="5607581C" w:rsidR="00C761F3" w:rsidRDefault="00C761F3">
                            <w:pPr>
                              <w:pStyle w:val="NoSpacing"/>
                              <w:rPr>
                                <w:caps/>
                                <w:color w:val="FFFFFF" w:themeColor="background1"/>
                              </w:rPr>
                            </w:pPr>
                            <w:r>
                              <w:rPr>
                                <w:caps/>
                                <w:color w:val="FFFFFF" w:themeColor="background1"/>
                              </w:rPr>
                              <w:t>United nations Development programme</w:t>
                            </w:r>
                          </w:p>
                          <w:p w14:paraId="5BE1EFCC" w14:textId="77777777" w:rsidR="00C761F3" w:rsidRDefault="00C761F3" w:rsidP="007428BB">
                            <w:pPr>
                              <w:pStyle w:val="NoSpacing"/>
                              <w:ind w:left="7200" w:firstLine="720"/>
                              <w:jc w:val="both"/>
                              <w:rPr>
                                <w:i/>
                                <w:caps/>
                                <w:color w:val="FFFFFF" w:themeColor="background1"/>
                              </w:rPr>
                            </w:pPr>
                          </w:p>
                          <w:p w14:paraId="32F7F0AD" w14:textId="77777777" w:rsidR="00C761F3" w:rsidRDefault="00C761F3" w:rsidP="007428BB">
                            <w:pPr>
                              <w:pStyle w:val="NoSpacing"/>
                              <w:ind w:left="7200" w:firstLine="720"/>
                              <w:jc w:val="both"/>
                              <w:rPr>
                                <w:i/>
                                <w:caps/>
                                <w:color w:val="FFFFFF" w:themeColor="background1"/>
                              </w:rPr>
                            </w:pPr>
                          </w:p>
                          <w:p w14:paraId="53E9A5B2" w14:textId="6CD8F902" w:rsidR="00C761F3" w:rsidRPr="007428BB" w:rsidRDefault="00C761F3" w:rsidP="007428BB">
                            <w:pPr>
                              <w:pStyle w:val="NoSpacing"/>
                              <w:ind w:left="7200" w:firstLine="720"/>
                              <w:jc w:val="both"/>
                              <w:rPr>
                                <w:i/>
                                <w:caps/>
                                <w:color w:val="FFFFFF" w:themeColor="background1"/>
                              </w:rPr>
                            </w:pPr>
                            <w:r>
                              <w:rPr>
                                <w:i/>
                                <w:caps/>
                                <w:color w:val="FFFFFF" w:themeColor="background1"/>
                              </w:rPr>
                              <w:t>May, 2016</w:t>
                            </w:r>
                          </w:p>
                        </w:txbxContent>
                      </v:textbox>
                    </v:rect>
                    <v:shapetype id="_x0000_t202" coordsize="21600,21600" o:spt="202" path="m,l,21600r21600,l21600,xe">
                      <v:stroke joinstyle="miter"/>
                      <v:path gradientshapeok="t" o:connecttype="rect"/>
                    </v:shapetype>
                    <v:shape id="Text Box 122" o:spid="_x0000_s1029" type="#_x0000_t202" style="position:absolute;left:1023;top:11805;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ED7D31" w:themeColor="accent2"/>
                                <w:sz w:val="56"/>
                                <w:szCs w:val="56"/>
                              </w:rPr>
                              <w:alias w:val="Title"/>
                              <w:tag w:val=""/>
                              <w:id w:val="-733621039"/>
                              <w:dataBinding w:prefixMappings="xmlns:ns0='http://purl.org/dc/elements/1.1/' xmlns:ns1='http://schemas.openxmlformats.org/package/2006/metadata/core-properties' " w:xpath="/ns1:coreProperties[1]/ns0:title[1]" w:storeItemID="{6C3C8BC8-F283-45AE-878A-BAB7291924A1}"/>
                              <w:text/>
                            </w:sdtPr>
                            <w:sdtContent>
                              <w:p w14:paraId="5BF772FF" w14:textId="5354E444" w:rsidR="00C761F3" w:rsidRDefault="00C761F3" w:rsidP="00AF2205">
                                <w:pPr>
                                  <w:pStyle w:val="NoSpacing"/>
                                  <w:pBdr>
                                    <w:bottom w:val="single" w:sz="6" w:space="4" w:color="7F7F7F" w:themeColor="text1" w:themeTint="80"/>
                                  </w:pBdr>
                                  <w:jc w:val="center"/>
                                  <w:rPr>
                                    <w:rFonts w:asciiTheme="majorHAnsi" w:eastAsiaTheme="majorEastAsia" w:hAnsiTheme="majorHAnsi" w:cstheme="majorBidi"/>
                                    <w:b/>
                                    <w:bCs/>
                                    <w:i/>
                                    <w:iCs/>
                                    <w:color w:val="ED7D31" w:themeColor="accent2"/>
                                    <w:sz w:val="56"/>
                                    <w:szCs w:val="56"/>
                                  </w:rPr>
                                </w:pPr>
                                <w:r>
                                  <w:rPr>
                                    <w:rFonts w:asciiTheme="majorHAnsi" w:eastAsiaTheme="majorEastAsia" w:hAnsiTheme="majorHAnsi" w:cstheme="majorBidi"/>
                                    <w:color w:val="ED7D31" w:themeColor="accent2"/>
                                    <w:sz w:val="56"/>
                                    <w:szCs w:val="56"/>
                                  </w:rPr>
                                  <w:t>RISK INFORMED DEVELOPMENT</w:t>
                                </w:r>
                              </w:p>
                            </w:sdtContent>
                          </w:sdt>
                          <w:p w14:paraId="4955C9E9" w14:textId="77777777" w:rsidR="00C761F3" w:rsidRDefault="00C761F3" w:rsidP="00AF2205">
                            <w:pPr>
                              <w:pStyle w:val="NoSpacing"/>
                              <w:spacing w:before="240"/>
                              <w:ind w:left="720"/>
                              <w:jc w:val="center"/>
                              <w:rPr>
                                <w:caps/>
                                <w:color w:val="44546A" w:themeColor="text2"/>
                                <w:sz w:val="36"/>
                                <w:szCs w:val="36"/>
                              </w:rPr>
                            </w:pPr>
                            <w:r w:rsidRPr="00B5441C">
                              <w:rPr>
                                <w:caps/>
                                <w:color w:val="44546A" w:themeColor="text2"/>
                                <w:sz w:val="36"/>
                                <w:szCs w:val="36"/>
                              </w:rPr>
                              <w:t xml:space="preserve">A </w:t>
                            </w:r>
                            <w:r>
                              <w:rPr>
                                <w:caps/>
                                <w:color w:val="44546A" w:themeColor="text2"/>
                                <w:sz w:val="36"/>
                                <w:szCs w:val="36"/>
                              </w:rPr>
                              <w:t xml:space="preserve">TOOL FOR </w:t>
                            </w:r>
                          </w:p>
                          <w:p w14:paraId="737F69A6" w14:textId="77777777" w:rsidR="00C761F3" w:rsidRDefault="00C761F3" w:rsidP="00AF2205">
                            <w:pPr>
                              <w:pStyle w:val="NoSpacing"/>
                              <w:spacing w:before="240"/>
                              <w:ind w:left="720"/>
                              <w:jc w:val="center"/>
                              <w:rPr>
                                <w:caps/>
                                <w:color w:val="44546A" w:themeColor="text2"/>
                                <w:sz w:val="36"/>
                                <w:szCs w:val="36"/>
                              </w:rPr>
                            </w:pPr>
                            <w:r>
                              <w:rPr>
                                <w:caps/>
                                <w:color w:val="44546A" w:themeColor="text2"/>
                                <w:sz w:val="36"/>
                                <w:szCs w:val="36"/>
                              </w:rPr>
                              <w:t xml:space="preserve">MAINSTREAMING DISASTER Risk reduction AND CLIMATE Change Adaptation into development  </w:t>
                            </w:r>
                          </w:p>
                          <w:p w14:paraId="645576C7" w14:textId="19BD74BC" w:rsidR="00C761F3" w:rsidRPr="00B5441C" w:rsidRDefault="00C761F3" w:rsidP="00AF2205">
                            <w:pPr>
                              <w:pStyle w:val="NoSpacing"/>
                              <w:spacing w:before="240"/>
                              <w:ind w:left="720"/>
                              <w:jc w:val="center"/>
                              <w:rPr>
                                <w:caps/>
                                <w:color w:val="44546A" w:themeColor="text2"/>
                                <w:sz w:val="36"/>
                                <w:szCs w:val="36"/>
                              </w:rPr>
                            </w:pPr>
                            <w:r>
                              <w:rPr>
                                <w:i/>
                                <w:caps/>
                                <w:color w:val="808080" w:themeColor="background1" w:themeShade="80"/>
                                <w:sz w:val="36"/>
                                <w:szCs w:val="36"/>
                                <w:highlight w:val="yellow"/>
                              </w:rPr>
                              <w:t>[ need to Finalize TITLE</w:t>
                            </w:r>
                            <w:r w:rsidRPr="00B5441C">
                              <w:rPr>
                                <w:i/>
                                <w:caps/>
                                <w:color w:val="808080" w:themeColor="background1" w:themeShade="80"/>
                                <w:sz w:val="36"/>
                                <w:szCs w:val="36"/>
                                <w:highlight w:val="yellow"/>
                              </w:rPr>
                              <w:t>]</w:t>
                            </w:r>
                          </w:p>
                          <w:p w14:paraId="520410A5" w14:textId="77777777" w:rsidR="00C761F3" w:rsidRDefault="00C761F3" w:rsidP="007428BB">
                            <w:pPr>
                              <w:pStyle w:val="NoSpacing"/>
                              <w:spacing w:before="240"/>
                              <w:jc w:val="center"/>
                              <w:rPr>
                                <w:caps/>
                                <w:color w:val="44546A" w:themeColor="text2"/>
                                <w:sz w:val="36"/>
                                <w:szCs w:val="36"/>
                              </w:rPr>
                            </w:pPr>
                          </w:p>
                          <w:p w14:paraId="07FDD59F" w14:textId="54B61BB7" w:rsidR="00C761F3" w:rsidRPr="00B5441C" w:rsidRDefault="00C761F3" w:rsidP="007428BB">
                            <w:pPr>
                              <w:pStyle w:val="NoSpacing"/>
                              <w:spacing w:before="240"/>
                              <w:jc w:val="center"/>
                              <w:rPr>
                                <w:i/>
                                <w:caps/>
                                <w:color w:val="808080" w:themeColor="background1" w:themeShade="80"/>
                                <w:sz w:val="36"/>
                                <w:szCs w:val="36"/>
                              </w:rPr>
                            </w:pPr>
                            <w:r>
                              <w:rPr>
                                <w:i/>
                                <w:caps/>
                                <w:color w:val="808080" w:themeColor="background1" w:themeShade="80"/>
                                <w:sz w:val="36"/>
                                <w:szCs w:val="36"/>
                              </w:rPr>
                              <w:t xml:space="preserve">PRELIMINARY </w:t>
                            </w:r>
                            <w:r w:rsidRPr="00B5441C">
                              <w:rPr>
                                <w:i/>
                                <w:caps/>
                                <w:color w:val="808080" w:themeColor="background1" w:themeShade="80"/>
                                <w:sz w:val="36"/>
                                <w:szCs w:val="36"/>
                              </w:rPr>
                              <w:t>DRAFT (REV 1)</w:t>
                            </w:r>
                            <w:r>
                              <w:rPr>
                                <w:i/>
                                <w:caps/>
                                <w:color w:val="808080" w:themeColor="background1" w:themeShade="80"/>
                                <w:sz w:val="36"/>
                                <w:szCs w:val="36"/>
                              </w:rPr>
                              <w:t xml:space="preserve"> </w:t>
                            </w:r>
                          </w:p>
                        </w:txbxContent>
                      </v:textbox>
                    </v:shape>
                    <w10:wrap anchorx="page" anchory="page"/>
                  </v:group>
                </w:pict>
              </mc:Fallback>
            </mc:AlternateContent>
          </w:r>
          <w:r w:rsidR="00A84D6A">
            <w:rPr>
              <w:noProof/>
            </w:rPr>
            <w:br w:type="page"/>
          </w:r>
        </w:p>
      </w:sdtContent>
    </w:sdt>
    <w:p w14:paraId="42508C6B" w14:textId="78386268" w:rsidR="00654BC1" w:rsidRDefault="00654BC1" w:rsidP="00D548B7">
      <w:pPr>
        <w:pStyle w:val="Heading1"/>
        <w:numPr>
          <w:ilvl w:val="0"/>
          <w:numId w:val="0"/>
        </w:numPr>
        <w:ind w:left="360"/>
      </w:pPr>
      <w:bookmarkStart w:id="1" w:name="_Toc451948682"/>
      <w:bookmarkStart w:id="2" w:name="_Toc451409683"/>
      <w:r w:rsidRPr="00E15440">
        <w:lastRenderedPageBreak/>
        <w:t>Table of Contents</w:t>
      </w:r>
      <w:bookmarkEnd w:id="1"/>
    </w:p>
    <w:p w14:paraId="3AD06D18" w14:textId="22799F15" w:rsidR="00E15440" w:rsidRDefault="00654BC1">
      <w:pPr>
        <w:pStyle w:val="TOC1"/>
        <w:rPr>
          <w:b w:val="0"/>
          <w:bCs w:val="0"/>
          <w:szCs w:val="22"/>
          <w:lang w:val="en-GB" w:eastAsia="en-GB" w:bidi="ar-SA"/>
        </w:rPr>
      </w:pPr>
      <w:r>
        <w:rPr>
          <w:sz w:val="36"/>
        </w:rPr>
        <w:fldChar w:fldCharType="begin"/>
      </w:r>
      <w:r>
        <w:rPr>
          <w:sz w:val="36"/>
        </w:rPr>
        <w:instrText xml:space="preserve"> TOC \o "1-3" \h \z \u </w:instrText>
      </w:r>
      <w:r>
        <w:rPr>
          <w:sz w:val="36"/>
        </w:rPr>
        <w:fldChar w:fldCharType="separate"/>
      </w:r>
    </w:p>
    <w:p w14:paraId="439ECDAE" w14:textId="7807E083" w:rsidR="00E15440" w:rsidRDefault="006806C3">
      <w:pPr>
        <w:pStyle w:val="TOC1"/>
        <w:tabs>
          <w:tab w:val="left" w:pos="440"/>
        </w:tabs>
        <w:rPr>
          <w:b w:val="0"/>
          <w:bCs w:val="0"/>
          <w:szCs w:val="22"/>
          <w:lang w:val="en-GB" w:eastAsia="en-GB" w:bidi="ar-SA"/>
        </w:rPr>
      </w:pPr>
      <w:hyperlink w:anchor="_Toc451948684" w:history="1">
        <w:r w:rsidR="00E15440" w:rsidRPr="00E70653">
          <w:rPr>
            <w:rStyle w:val="Hyperlink"/>
            <w:rFonts w:ascii="Calibri" w:hAnsi="Calibri"/>
            <w:u w:color="4472C4" w:themeColor="accent5"/>
          </w:rPr>
          <w:t>1.</w:t>
        </w:r>
        <w:r w:rsidR="00E15440">
          <w:rPr>
            <w:b w:val="0"/>
            <w:bCs w:val="0"/>
            <w:szCs w:val="22"/>
            <w:lang w:val="en-GB" w:eastAsia="en-GB" w:bidi="ar-SA"/>
          </w:rPr>
          <w:tab/>
        </w:r>
        <w:r w:rsidR="00E15440" w:rsidRPr="00E70653">
          <w:rPr>
            <w:rStyle w:val="Hyperlink"/>
          </w:rPr>
          <w:t>Context for the Tool</w:t>
        </w:r>
        <w:r w:rsidR="00E15440">
          <w:rPr>
            <w:webHidden/>
          </w:rPr>
          <w:tab/>
        </w:r>
        <w:r w:rsidR="00E15440">
          <w:rPr>
            <w:webHidden/>
          </w:rPr>
          <w:fldChar w:fldCharType="begin"/>
        </w:r>
        <w:r w:rsidR="00E15440">
          <w:rPr>
            <w:webHidden/>
          </w:rPr>
          <w:instrText xml:space="preserve"> PAGEREF _Toc451948684 \h </w:instrText>
        </w:r>
        <w:r w:rsidR="00E15440">
          <w:rPr>
            <w:webHidden/>
          </w:rPr>
        </w:r>
        <w:r w:rsidR="00E15440">
          <w:rPr>
            <w:webHidden/>
          </w:rPr>
          <w:fldChar w:fldCharType="separate"/>
        </w:r>
        <w:r w:rsidR="00E15440">
          <w:rPr>
            <w:webHidden/>
          </w:rPr>
          <w:t>4</w:t>
        </w:r>
        <w:r w:rsidR="00E15440">
          <w:rPr>
            <w:webHidden/>
          </w:rPr>
          <w:fldChar w:fldCharType="end"/>
        </w:r>
      </w:hyperlink>
    </w:p>
    <w:p w14:paraId="3E4562D4" w14:textId="56E56703" w:rsidR="00E15440" w:rsidRDefault="006806C3">
      <w:pPr>
        <w:pStyle w:val="TOC2"/>
        <w:rPr>
          <w:noProof/>
          <w:szCs w:val="22"/>
          <w:lang w:val="en-GB" w:eastAsia="en-GB" w:bidi="ar-SA"/>
        </w:rPr>
      </w:pPr>
      <w:hyperlink w:anchor="_Toc451948685" w:history="1">
        <w:r w:rsidR="00E15440" w:rsidRPr="00E70653">
          <w:rPr>
            <w:rStyle w:val="Hyperlink"/>
            <w:noProof/>
          </w:rPr>
          <w:t>A changing risk landscape</w:t>
        </w:r>
        <w:r w:rsidR="00E15440">
          <w:rPr>
            <w:noProof/>
            <w:webHidden/>
          </w:rPr>
          <w:tab/>
        </w:r>
        <w:r w:rsidR="00E15440">
          <w:rPr>
            <w:noProof/>
            <w:webHidden/>
          </w:rPr>
          <w:fldChar w:fldCharType="begin"/>
        </w:r>
        <w:r w:rsidR="00E15440">
          <w:rPr>
            <w:noProof/>
            <w:webHidden/>
          </w:rPr>
          <w:instrText xml:space="preserve"> PAGEREF _Toc451948685 \h </w:instrText>
        </w:r>
        <w:r w:rsidR="00E15440">
          <w:rPr>
            <w:noProof/>
            <w:webHidden/>
          </w:rPr>
        </w:r>
        <w:r w:rsidR="00E15440">
          <w:rPr>
            <w:noProof/>
            <w:webHidden/>
          </w:rPr>
          <w:fldChar w:fldCharType="separate"/>
        </w:r>
        <w:r w:rsidR="00E15440">
          <w:rPr>
            <w:noProof/>
            <w:webHidden/>
          </w:rPr>
          <w:t>4</w:t>
        </w:r>
        <w:r w:rsidR="00E15440">
          <w:rPr>
            <w:noProof/>
            <w:webHidden/>
          </w:rPr>
          <w:fldChar w:fldCharType="end"/>
        </w:r>
      </w:hyperlink>
    </w:p>
    <w:p w14:paraId="06ED37F6" w14:textId="37A7EA39" w:rsidR="00E15440" w:rsidRDefault="006806C3">
      <w:pPr>
        <w:pStyle w:val="TOC2"/>
        <w:rPr>
          <w:noProof/>
          <w:szCs w:val="22"/>
          <w:lang w:val="en-GB" w:eastAsia="en-GB" w:bidi="ar-SA"/>
        </w:rPr>
      </w:pPr>
      <w:hyperlink w:anchor="_Toc451948686" w:history="1">
        <w:r w:rsidR="00E15440" w:rsidRPr="00E70653">
          <w:rPr>
            <w:rStyle w:val="Hyperlink"/>
            <w:noProof/>
          </w:rPr>
          <w:t xml:space="preserve">An opportunity for </w:t>
        </w:r>
        <w:r w:rsidR="00E15440" w:rsidRPr="00E70653">
          <w:rPr>
            <w:rStyle w:val="Hyperlink"/>
            <w:noProof/>
            <w:highlight w:val="yellow"/>
          </w:rPr>
          <w:t>cohesive/integrated</w:t>
        </w:r>
        <w:r w:rsidR="00E15440" w:rsidRPr="00E70653">
          <w:rPr>
            <w:rStyle w:val="Hyperlink"/>
            <w:noProof/>
          </w:rPr>
          <w:t xml:space="preserve"> action on risk</w:t>
        </w:r>
        <w:r w:rsidR="00E15440">
          <w:rPr>
            <w:noProof/>
            <w:webHidden/>
          </w:rPr>
          <w:tab/>
        </w:r>
        <w:r w:rsidR="00E15440">
          <w:rPr>
            <w:noProof/>
            <w:webHidden/>
          </w:rPr>
          <w:fldChar w:fldCharType="begin"/>
        </w:r>
        <w:r w:rsidR="00E15440">
          <w:rPr>
            <w:noProof/>
            <w:webHidden/>
          </w:rPr>
          <w:instrText xml:space="preserve"> PAGEREF _Toc451948686 \h </w:instrText>
        </w:r>
        <w:r w:rsidR="00E15440">
          <w:rPr>
            <w:noProof/>
            <w:webHidden/>
          </w:rPr>
        </w:r>
        <w:r w:rsidR="00E15440">
          <w:rPr>
            <w:noProof/>
            <w:webHidden/>
          </w:rPr>
          <w:fldChar w:fldCharType="separate"/>
        </w:r>
        <w:r w:rsidR="00E15440">
          <w:rPr>
            <w:noProof/>
            <w:webHidden/>
          </w:rPr>
          <w:t>4</w:t>
        </w:r>
        <w:r w:rsidR="00E15440">
          <w:rPr>
            <w:noProof/>
            <w:webHidden/>
          </w:rPr>
          <w:fldChar w:fldCharType="end"/>
        </w:r>
      </w:hyperlink>
    </w:p>
    <w:p w14:paraId="55887CC8" w14:textId="0F23F88C" w:rsidR="00E15440" w:rsidRDefault="006806C3">
      <w:pPr>
        <w:pStyle w:val="TOC2"/>
        <w:rPr>
          <w:noProof/>
          <w:szCs w:val="22"/>
          <w:lang w:val="en-GB" w:eastAsia="en-GB" w:bidi="ar-SA"/>
        </w:rPr>
      </w:pPr>
      <w:hyperlink w:anchor="_Toc451948687" w:history="1">
        <w:r w:rsidR="00E15440" w:rsidRPr="00E70653">
          <w:rPr>
            <w:rStyle w:val="Hyperlink"/>
            <w:noProof/>
          </w:rPr>
          <w:t>Mainstreaming for risk informed development</w:t>
        </w:r>
        <w:r w:rsidR="00E15440">
          <w:rPr>
            <w:noProof/>
            <w:webHidden/>
          </w:rPr>
          <w:tab/>
        </w:r>
        <w:r w:rsidR="00E15440">
          <w:rPr>
            <w:noProof/>
            <w:webHidden/>
          </w:rPr>
          <w:fldChar w:fldCharType="begin"/>
        </w:r>
        <w:r w:rsidR="00E15440">
          <w:rPr>
            <w:noProof/>
            <w:webHidden/>
          </w:rPr>
          <w:instrText xml:space="preserve"> PAGEREF _Toc451948687 \h </w:instrText>
        </w:r>
        <w:r w:rsidR="00E15440">
          <w:rPr>
            <w:noProof/>
            <w:webHidden/>
          </w:rPr>
        </w:r>
        <w:r w:rsidR="00E15440">
          <w:rPr>
            <w:noProof/>
            <w:webHidden/>
          </w:rPr>
          <w:fldChar w:fldCharType="separate"/>
        </w:r>
        <w:r w:rsidR="00E15440">
          <w:rPr>
            <w:noProof/>
            <w:webHidden/>
          </w:rPr>
          <w:t>5</w:t>
        </w:r>
        <w:r w:rsidR="00E15440">
          <w:rPr>
            <w:noProof/>
            <w:webHidden/>
          </w:rPr>
          <w:fldChar w:fldCharType="end"/>
        </w:r>
      </w:hyperlink>
    </w:p>
    <w:p w14:paraId="7027E922" w14:textId="76CB1A3B" w:rsidR="00E15440" w:rsidRDefault="006806C3">
      <w:pPr>
        <w:pStyle w:val="TOC2"/>
        <w:rPr>
          <w:noProof/>
          <w:szCs w:val="22"/>
          <w:lang w:val="en-GB" w:eastAsia="en-GB" w:bidi="ar-SA"/>
        </w:rPr>
      </w:pPr>
      <w:hyperlink w:anchor="_Toc451948688" w:history="1">
        <w:r w:rsidR="00E15440" w:rsidRPr="00E70653">
          <w:rPr>
            <w:rStyle w:val="Hyperlink"/>
            <w:noProof/>
            <w:lang w:val="en"/>
          </w:rPr>
          <w:t>Strengthening risk governance</w:t>
        </w:r>
        <w:r w:rsidR="00E15440">
          <w:rPr>
            <w:noProof/>
            <w:webHidden/>
          </w:rPr>
          <w:tab/>
        </w:r>
        <w:r w:rsidR="00E15440">
          <w:rPr>
            <w:noProof/>
            <w:webHidden/>
          </w:rPr>
          <w:fldChar w:fldCharType="begin"/>
        </w:r>
        <w:r w:rsidR="00E15440">
          <w:rPr>
            <w:noProof/>
            <w:webHidden/>
          </w:rPr>
          <w:instrText xml:space="preserve"> PAGEREF _Toc451948688 \h </w:instrText>
        </w:r>
        <w:r w:rsidR="00E15440">
          <w:rPr>
            <w:noProof/>
            <w:webHidden/>
          </w:rPr>
        </w:r>
        <w:r w:rsidR="00E15440">
          <w:rPr>
            <w:noProof/>
            <w:webHidden/>
          </w:rPr>
          <w:fldChar w:fldCharType="separate"/>
        </w:r>
        <w:r w:rsidR="00E15440">
          <w:rPr>
            <w:noProof/>
            <w:webHidden/>
          </w:rPr>
          <w:t>7</w:t>
        </w:r>
        <w:r w:rsidR="00E15440">
          <w:rPr>
            <w:noProof/>
            <w:webHidden/>
          </w:rPr>
          <w:fldChar w:fldCharType="end"/>
        </w:r>
      </w:hyperlink>
    </w:p>
    <w:p w14:paraId="4627AD72" w14:textId="269E24DD" w:rsidR="00E15440" w:rsidRDefault="006806C3">
      <w:pPr>
        <w:pStyle w:val="TOC1"/>
        <w:tabs>
          <w:tab w:val="left" w:pos="440"/>
        </w:tabs>
        <w:rPr>
          <w:b w:val="0"/>
          <w:bCs w:val="0"/>
          <w:szCs w:val="22"/>
          <w:lang w:val="en-GB" w:eastAsia="en-GB" w:bidi="ar-SA"/>
        </w:rPr>
      </w:pPr>
      <w:hyperlink w:anchor="_Toc451948689" w:history="1">
        <w:r w:rsidR="00E15440" w:rsidRPr="00E70653">
          <w:rPr>
            <w:rStyle w:val="Hyperlink"/>
            <w:rFonts w:ascii="Calibri" w:hAnsi="Calibri"/>
            <w:u w:color="4472C4" w:themeColor="accent5"/>
          </w:rPr>
          <w:t>2.</w:t>
        </w:r>
        <w:r w:rsidR="00E15440">
          <w:rPr>
            <w:b w:val="0"/>
            <w:bCs w:val="0"/>
            <w:szCs w:val="22"/>
            <w:lang w:val="en-GB" w:eastAsia="en-GB" w:bidi="ar-SA"/>
          </w:rPr>
          <w:tab/>
        </w:r>
        <w:r w:rsidR="00E15440" w:rsidRPr="00E70653">
          <w:rPr>
            <w:rStyle w:val="Hyperlink"/>
          </w:rPr>
          <w:t>Background to the tool</w:t>
        </w:r>
        <w:r w:rsidR="00E15440">
          <w:rPr>
            <w:webHidden/>
          </w:rPr>
          <w:tab/>
        </w:r>
        <w:r w:rsidR="00E15440">
          <w:rPr>
            <w:webHidden/>
          </w:rPr>
          <w:fldChar w:fldCharType="begin"/>
        </w:r>
        <w:r w:rsidR="00E15440">
          <w:rPr>
            <w:webHidden/>
          </w:rPr>
          <w:instrText xml:space="preserve"> PAGEREF _Toc451948689 \h </w:instrText>
        </w:r>
        <w:r w:rsidR="00E15440">
          <w:rPr>
            <w:webHidden/>
          </w:rPr>
        </w:r>
        <w:r w:rsidR="00E15440">
          <w:rPr>
            <w:webHidden/>
          </w:rPr>
          <w:fldChar w:fldCharType="separate"/>
        </w:r>
        <w:r w:rsidR="00E15440">
          <w:rPr>
            <w:webHidden/>
          </w:rPr>
          <w:t>8</w:t>
        </w:r>
        <w:r w:rsidR="00E15440">
          <w:rPr>
            <w:webHidden/>
          </w:rPr>
          <w:fldChar w:fldCharType="end"/>
        </w:r>
      </w:hyperlink>
    </w:p>
    <w:p w14:paraId="7B35BE0F" w14:textId="5B684CAB" w:rsidR="00E15440" w:rsidRDefault="006806C3">
      <w:pPr>
        <w:pStyle w:val="TOC2"/>
        <w:rPr>
          <w:noProof/>
          <w:szCs w:val="22"/>
          <w:lang w:val="en-GB" w:eastAsia="en-GB" w:bidi="ar-SA"/>
        </w:rPr>
      </w:pPr>
      <w:hyperlink w:anchor="_Toc451948690" w:history="1">
        <w:r w:rsidR="00E15440" w:rsidRPr="00E70653">
          <w:rPr>
            <w:rStyle w:val="Hyperlink"/>
            <w:noProof/>
          </w:rPr>
          <w:t>Approach to developing the tool</w:t>
        </w:r>
        <w:r w:rsidR="00E15440">
          <w:rPr>
            <w:noProof/>
            <w:webHidden/>
          </w:rPr>
          <w:tab/>
        </w:r>
        <w:r w:rsidR="00E15440">
          <w:rPr>
            <w:noProof/>
            <w:webHidden/>
          </w:rPr>
          <w:fldChar w:fldCharType="begin"/>
        </w:r>
        <w:r w:rsidR="00E15440">
          <w:rPr>
            <w:noProof/>
            <w:webHidden/>
          </w:rPr>
          <w:instrText xml:space="preserve"> PAGEREF _Toc451948690 \h </w:instrText>
        </w:r>
        <w:r w:rsidR="00E15440">
          <w:rPr>
            <w:noProof/>
            <w:webHidden/>
          </w:rPr>
        </w:r>
        <w:r w:rsidR="00E15440">
          <w:rPr>
            <w:noProof/>
            <w:webHidden/>
          </w:rPr>
          <w:fldChar w:fldCharType="separate"/>
        </w:r>
        <w:r w:rsidR="00E15440">
          <w:rPr>
            <w:noProof/>
            <w:webHidden/>
          </w:rPr>
          <w:t>8</w:t>
        </w:r>
        <w:r w:rsidR="00E15440">
          <w:rPr>
            <w:noProof/>
            <w:webHidden/>
          </w:rPr>
          <w:fldChar w:fldCharType="end"/>
        </w:r>
      </w:hyperlink>
    </w:p>
    <w:p w14:paraId="57C948DF" w14:textId="30E9C9D8" w:rsidR="00E15440" w:rsidRDefault="006806C3">
      <w:pPr>
        <w:pStyle w:val="TOC1"/>
        <w:tabs>
          <w:tab w:val="left" w:pos="440"/>
        </w:tabs>
        <w:rPr>
          <w:b w:val="0"/>
          <w:bCs w:val="0"/>
          <w:szCs w:val="22"/>
          <w:lang w:val="en-GB" w:eastAsia="en-GB" w:bidi="ar-SA"/>
        </w:rPr>
      </w:pPr>
      <w:hyperlink w:anchor="_Toc451948691" w:history="1">
        <w:r w:rsidR="00E15440" w:rsidRPr="00E70653">
          <w:rPr>
            <w:rStyle w:val="Hyperlink"/>
            <w:rFonts w:ascii="Calibri" w:hAnsi="Calibri"/>
            <w:u w:color="4472C4" w:themeColor="accent5"/>
          </w:rPr>
          <w:t>3.</w:t>
        </w:r>
        <w:r w:rsidR="00E15440">
          <w:rPr>
            <w:b w:val="0"/>
            <w:bCs w:val="0"/>
            <w:szCs w:val="22"/>
            <w:lang w:val="en-GB" w:eastAsia="en-GB" w:bidi="ar-SA"/>
          </w:rPr>
          <w:tab/>
        </w:r>
        <w:r w:rsidR="00E15440" w:rsidRPr="00E70653">
          <w:rPr>
            <w:rStyle w:val="Hyperlink"/>
          </w:rPr>
          <w:t>Overview of Mainstreaming Tool</w:t>
        </w:r>
        <w:r w:rsidR="00E15440">
          <w:rPr>
            <w:webHidden/>
          </w:rPr>
          <w:tab/>
        </w:r>
        <w:r w:rsidR="00E15440">
          <w:rPr>
            <w:webHidden/>
          </w:rPr>
          <w:fldChar w:fldCharType="begin"/>
        </w:r>
        <w:r w:rsidR="00E15440">
          <w:rPr>
            <w:webHidden/>
          </w:rPr>
          <w:instrText xml:space="preserve"> PAGEREF _Toc451948691 \h </w:instrText>
        </w:r>
        <w:r w:rsidR="00E15440">
          <w:rPr>
            <w:webHidden/>
          </w:rPr>
        </w:r>
        <w:r w:rsidR="00E15440">
          <w:rPr>
            <w:webHidden/>
          </w:rPr>
          <w:fldChar w:fldCharType="separate"/>
        </w:r>
        <w:r w:rsidR="00E15440">
          <w:rPr>
            <w:webHidden/>
          </w:rPr>
          <w:t>10</w:t>
        </w:r>
        <w:r w:rsidR="00E15440">
          <w:rPr>
            <w:webHidden/>
          </w:rPr>
          <w:fldChar w:fldCharType="end"/>
        </w:r>
      </w:hyperlink>
    </w:p>
    <w:p w14:paraId="5FFD83ED" w14:textId="716695DF" w:rsidR="00E15440" w:rsidRDefault="006806C3">
      <w:pPr>
        <w:pStyle w:val="TOC2"/>
        <w:rPr>
          <w:noProof/>
          <w:szCs w:val="22"/>
          <w:lang w:val="en-GB" w:eastAsia="en-GB" w:bidi="ar-SA"/>
        </w:rPr>
      </w:pPr>
      <w:hyperlink w:anchor="_Toc451948692" w:history="1">
        <w:r w:rsidR="00E15440" w:rsidRPr="00E70653">
          <w:rPr>
            <w:rStyle w:val="Hyperlink"/>
            <w:noProof/>
          </w:rPr>
          <w:t>Audience</w:t>
        </w:r>
        <w:r w:rsidR="00E15440">
          <w:rPr>
            <w:noProof/>
            <w:webHidden/>
          </w:rPr>
          <w:tab/>
        </w:r>
        <w:r w:rsidR="00E15440">
          <w:rPr>
            <w:noProof/>
            <w:webHidden/>
          </w:rPr>
          <w:fldChar w:fldCharType="begin"/>
        </w:r>
        <w:r w:rsidR="00E15440">
          <w:rPr>
            <w:noProof/>
            <w:webHidden/>
          </w:rPr>
          <w:instrText xml:space="preserve"> PAGEREF _Toc451948692 \h </w:instrText>
        </w:r>
        <w:r w:rsidR="00E15440">
          <w:rPr>
            <w:noProof/>
            <w:webHidden/>
          </w:rPr>
        </w:r>
        <w:r w:rsidR="00E15440">
          <w:rPr>
            <w:noProof/>
            <w:webHidden/>
          </w:rPr>
          <w:fldChar w:fldCharType="separate"/>
        </w:r>
        <w:r w:rsidR="00E15440">
          <w:rPr>
            <w:noProof/>
            <w:webHidden/>
          </w:rPr>
          <w:t>10</w:t>
        </w:r>
        <w:r w:rsidR="00E15440">
          <w:rPr>
            <w:noProof/>
            <w:webHidden/>
          </w:rPr>
          <w:fldChar w:fldCharType="end"/>
        </w:r>
      </w:hyperlink>
    </w:p>
    <w:p w14:paraId="1BBB110A" w14:textId="2A26278B" w:rsidR="00E15440" w:rsidRDefault="006806C3">
      <w:pPr>
        <w:pStyle w:val="TOC2"/>
        <w:rPr>
          <w:noProof/>
          <w:szCs w:val="22"/>
          <w:lang w:val="en-GB" w:eastAsia="en-GB" w:bidi="ar-SA"/>
        </w:rPr>
      </w:pPr>
      <w:hyperlink w:anchor="_Toc451948693" w:history="1">
        <w:r w:rsidR="00E15440" w:rsidRPr="00E70653">
          <w:rPr>
            <w:rStyle w:val="Hyperlink"/>
            <w:noProof/>
          </w:rPr>
          <w:t>Purpose</w:t>
        </w:r>
        <w:r w:rsidR="00E15440">
          <w:rPr>
            <w:noProof/>
            <w:webHidden/>
          </w:rPr>
          <w:tab/>
        </w:r>
        <w:r w:rsidR="00E15440">
          <w:rPr>
            <w:noProof/>
            <w:webHidden/>
          </w:rPr>
          <w:fldChar w:fldCharType="begin"/>
        </w:r>
        <w:r w:rsidR="00E15440">
          <w:rPr>
            <w:noProof/>
            <w:webHidden/>
          </w:rPr>
          <w:instrText xml:space="preserve"> PAGEREF _Toc451948693 \h </w:instrText>
        </w:r>
        <w:r w:rsidR="00E15440">
          <w:rPr>
            <w:noProof/>
            <w:webHidden/>
          </w:rPr>
        </w:r>
        <w:r w:rsidR="00E15440">
          <w:rPr>
            <w:noProof/>
            <w:webHidden/>
          </w:rPr>
          <w:fldChar w:fldCharType="separate"/>
        </w:r>
        <w:r w:rsidR="00E15440">
          <w:rPr>
            <w:noProof/>
            <w:webHidden/>
          </w:rPr>
          <w:t>11</w:t>
        </w:r>
        <w:r w:rsidR="00E15440">
          <w:rPr>
            <w:noProof/>
            <w:webHidden/>
          </w:rPr>
          <w:fldChar w:fldCharType="end"/>
        </w:r>
      </w:hyperlink>
    </w:p>
    <w:p w14:paraId="72895C5C" w14:textId="6C2B3A41" w:rsidR="00E15440" w:rsidRDefault="006806C3">
      <w:pPr>
        <w:pStyle w:val="TOC2"/>
        <w:rPr>
          <w:noProof/>
          <w:szCs w:val="22"/>
          <w:lang w:val="en-GB" w:eastAsia="en-GB" w:bidi="ar-SA"/>
        </w:rPr>
      </w:pPr>
      <w:hyperlink w:anchor="_Toc451948694" w:history="1">
        <w:r w:rsidR="00E15440" w:rsidRPr="00E70653">
          <w:rPr>
            <w:rStyle w:val="Hyperlink"/>
            <w:noProof/>
          </w:rPr>
          <w:t>Objectives</w:t>
        </w:r>
        <w:r w:rsidR="00E15440">
          <w:rPr>
            <w:noProof/>
            <w:webHidden/>
          </w:rPr>
          <w:tab/>
        </w:r>
        <w:r w:rsidR="00E15440">
          <w:rPr>
            <w:noProof/>
            <w:webHidden/>
          </w:rPr>
          <w:fldChar w:fldCharType="begin"/>
        </w:r>
        <w:r w:rsidR="00E15440">
          <w:rPr>
            <w:noProof/>
            <w:webHidden/>
          </w:rPr>
          <w:instrText xml:space="preserve"> PAGEREF _Toc451948694 \h </w:instrText>
        </w:r>
        <w:r w:rsidR="00E15440">
          <w:rPr>
            <w:noProof/>
            <w:webHidden/>
          </w:rPr>
        </w:r>
        <w:r w:rsidR="00E15440">
          <w:rPr>
            <w:noProof/>
            <w:webHidden/>
          </w:rPr>
          <w:fldChar w:fldCharType="separate"/>
        </w:r>
        <w:r w:rsidR="00E15440">
          <w:rPr>
            <w:noProof/>
            <w:webHidden/>
          </w:rPr>
          <w:t>11</w:t>
        </w:r>
        <w:r w:rsidR="00E15440">
          <w:rPr>
            <w:noProof/>
            <w:webHidden/>
          </w:rPr>
          <w:fldChar w:fldCharType="end"/>
        </w:r>
      </w:hyperlink>
    </w:p>
    <w:p w14:paraId="1AA92A50" w14:textId="5C1CE163" w:rsidR="00E15440" w:rsidRDefault="006806C3">
      <w:pPr>
        <w:pStyle w:val="TOC2"/>
        <w:rPr>
          <w:noProof/>
          <w:szCs w:val="22"/>
          <w:lang w:val="en-GB" w:eastAsia="en-GB" w:bidi="ar-SA"/>
        </w:rPr>
      </w:pPr>
      <w:hyperlink w:anchor="_Toc451948695" w:history="1">
        <w:r w:rsidR="00E15440" w:rsidRPr="00E70653">
          <w:rPr>
            <w:rStyle w:val="Hyperlink"/>
            <w:noProof/>
          </w:rPr>
          <w:t>Scope</w:t>
        </w:r>
        <w:r w:rsidR="00E15440">
          <w:rPr>
            <w:noProof/>
            <w:webHidden/>
          </w:rPr>
          <w:tab/>
        </w:r>
        <w:r w:rsidR="00E15440">
          <w:rPr>
            <w:noProof/>
            <w:webHidden/>
          </w:rPr>
          <w:fldChar w:fldCharType="begin"/>
        </w:r>
        <w:r w:rsidR="00E15440">
          <w:rPr>
            <w:noProof/>
            <w:webHidden/>
          </w:rPr>
          <w:instrText xml:space="preserve"> PAGEREF _Toc451948695 \h </w:instrText>
        </w:r>
        <w:r w:rsidR="00E15440">
          <w:rPr>
            <w:noProof/>
            <w:webHidden/>
          </w:rPr>
        </w:r>
        <w:r w:rsidR="00E15440">
          <w:rPr>
            <w:noProof/>
            <w:webHidden/>
          </w:rPr>
          <w:fldChar w:fldCharType="separate"/>
        </w:r>
        <w:r w:rsidR="00E15440">
          <w:rPr>
            <w:noProof/>
            <w:webHidden/>
          </w:rPr>
          <w:t>13</w:t>
        </w:r>
        <w:r w:rsidR="00E15440">
          <w:rPr>
            <w:noProof/>
            <w:webHidden/>
          </w:rPr>
          <w:fldChar w:fldCharType="end"/>
        </w:r>
      </w:hyperlink>
    </w:p>
    <w:p w14:paraId="66C90053" w14:textId="5A612645" w:rsidR="00E15440" w:rsidRDefault="006806C3">
      <w:pPr>
        <w:pStyle w:val="TOC1"/>
        <w:tabs>
          <w:tab w:val="left" w:pos="440"/>
        </w:tabs>
        <w:rPr>
          <w:b w:val="0"/>
          <w:bCs w:val="0"/>
          <w:szCs w:val="22"/>
          <w:lang w:val="en-GB" w:eastAsia="en-GB" w:bidi="ar-SA"/>
        </w:rPr>
      </w:pPr>
      <w:hyperlink w:anchor="_Toc451948696" w:history="1">
        <w:r w:rsidR="00E15440" w:rsidRPr="00E70653">
          <w:rPr>
            <w:rStyle w:val="Hyperlink"/>
            <w:rFonts w:ascii="Calibri" w:hAnsi="Calibri"/>
            <w:u w:color="4472C4" w:themeColor="accent5"/>
          </w:rPr>
          <w:t>4.</w:t>
        </w:r>
        <w:r w:rsidR="00E15440">
          <w:rPr>
            <w:b w:val="0"/>
            <w:bCs w:val="0"/>
            <w:szCs w:val="22"/>
            <w:lang w:val="en-GB" w:eastAsia="en-GB" w:bidi="ar-SA"/>
          </w:rPr>
          <w:tab/>
        </w:r>
        <w:r w:rsidR="00E15440" w:rsidRPr="00E70653">
          <w:rPr>
            <w:rStyle w:val="Hyperlink"/>
          </w:rPr>
          <w:t>Mainstreaming Principles</w:t>
        </w:r>
        <w:r w:rsidR="00E15440">
          <w:rPr>
            <w:webHidden/>
          </w:rPr>
          <w:tab/>
        </w:r>
        <w:r w:rsidR="00E15440">
          <w:rPr>
            <w:webHidden/>
          </w:rPr>
          <w:fldChar w:fldCharType="begin"/>
        </w:r>
        <w:r w:rsidR="00E15440">
          <w:rPr>
            <w:webHidden/>
          </w:rPr>
          <w:instrText xml:space="preserve"> PAGEREF _Toc451948696 \h </w:instrText>
        </w:r>
        <w:r w:rsidR="00E15440">
          <w:rPr>
            <w:webHidden/>
          </w:rPr>
        </w:r>
        <w:r w:rsidR="00E15440">
          <w:rPr>
            <w:webHidden/>
          </w:rPr>
          <w:fldChar w:fldCharType="separate"/>
        </w:r>
        <w:r w:rsidR="00E15440">
          <w:rPr>
            <w:webHidden/>
          </w:rPr>
          <w:t>14</w:t>
        </w:r>
        <w:r w:rsidR="00E15440">
          <w:rPr>
            <w:webHidden/>
          </w:rPr>
          <w:fldChar w:fldCharType="end"/>
        </w:r>
      </w:hyperlink>
    </w:p>
    <w:p w14:paraId="481E5202" w14:textId="12DB0873" w:rsidR="00E15440" w:rsidRDefault="006806C3">
      <w:pPr>
        <w:pStyle w:val="TOC2"/>
        <w:rPr>
          <w:noProof/>
          <w:szCs w:val="22"/>
          <w:lang w:val="en-GB" w:eastAsia="en-GB" w:bidi="ar-SA"/>
        </w:rPr>
      </w:pPr>
      <w:hyperlink w:anchor="_Toc451948697" w:history="1">
        <w:r w:rsidR="00E15440" w:rsidRPr="00E70653">
          <w:rPr>
            <w:rStyle w:val="Hyperlink"/>
            <w:noProof/>
          </w:rPr>
          <w:t>Overview of Principles</w:t>
        </w:r>
        <w:r w:rsidR="00E15440">
          <w:rPr>
            <w:noProof/>
            <w:webHidden/>
          </w:rPr>
          <w:tab/>
        </w:r>
        <w:r w:rsidR="00E15440">
          <w:rPr>
            <w:noProof/>
            <w:webHidden/>
          </w:rPr>
          <w:fldChar w:fldCharType="begin"/>
        </w:r>
        <w:r w:rsidR="00E15440">
          <w:rPr>
            <w:noProof/>
            <w:webHidden/>
          </w:rPr>
          <w:instrText xml:space="preserve"> PAGEREF _Toc451948697 \h </w:instrText>
        </w:r>
        <w:r w:rsidR="00E15440">
          <w:rPr>
            <w:noProof/>
            <w:webHidden/>
          </w:rPr>
        </w:r>
        <w:r w:rsidR="00E15440">
          <w:rPr>
            <w:noProof/>
            <w:webHidden/>
          </w:rPr>
          <w:fldChar w:fldCharType="separate"/>
        </w:r>
        <w:r w:rsidR="00E15440">
          <w:rPr>
            <w:noProof/>
            <w:webHidden/>
          </w:rPr>
          <w:t>14</w:t>
        </w:r>
        <w:r w:rsidR="00E15440">
          <w:rPr>
            <w:noProof/>
            <w:webHidden/>
          </w:rPr>
          <w:fldChar w:fldCharType="end"/>
        </w:r>
      </w:hyperlink>
    </w:p>
    <w:p w14:paraId="4E3CF91B" w14:textId="6817981C" w:rsidR="00E15440" w:rsidRDefault="006806C3">
      <w:pPr>
        <w:pStyle w:val="TOC2"/>
        <w:rPr>
          <w:noProof/>
          <w:szCs w:val="22"/>
          <w:lang w:val="en-GB" w:eastAsia="en-GB" w:bidi="ar-SA"/>
        </w:rPr>
      </w:pPr>
      <w:hyperlink w:anchor="_Toc451948698" w:history="1">
        <w:r w:rsidR="00E15440" w:rsidRPr="00E70653">
          <w:rPr>
            <w:rStyle w:val="Hyperlink"/>
            <w:noProof/>
          </w:rPr>
          <w:t xml:space="preserve">Unpacking the principles </w:t>
        </w:r>
        <w:r w:rsidR="00E15440" w:rsidRPr="00E70653">
          <w:rPr>
            <w:rStyle w:val="Hyperlink"/>
            <w:i/>
            <w:noProof/>
          </w:rPr>
          <w:t>[</w:t>
        </w:r>
        <w:r w:rsidR="00E15440" w:rsidRPr="00E70653">
          <w:rPr>
            <w:rStyle w:val="Hyperlink"/>
            <w:i/>
            <w:noProof/>
            <w:highlight w:val="yellow"/>
          </w:rPr>
          <w:t>title?]</w:t>
        </w:r>
        <w:r w:rsidR="00E15440">
          <w:rPr>
            <w:noProof/>
            <w:webHidden/>
          </w:rPr>
          <w:tab/>
        </w:r>
        <w:r w:rsidR="00E15440">
          <w:rPr>
            <w:noProof/>
            <w:webHidden/>
          </w:rPr>
          <w:fldChar w:fldCharType="begin"/>
        </w:r>
        <w:r w:rsidR="00E15440">
          <w:rPr>
            <w:noProof/>
            <w:webHidden/>
          </w:rPr>
          <w:instrText xml:space="preserve"> PAGEREF _Toc451948698 \h </w:instrText>
        </w:r>
        <w:r w:rsidR="00E15440">
          <w:rPr>
            <w:noProof/>
            <w:webHidden/>
          </w:rPr>
        </w:r>
        <w:r w:rsidR="00E15440">
          <w:rPr>
            <w:noProof/>
            <w:webHidden/>
          </w:rPr>
          <w:fldChar w:fldCharType="separate"/>
        </w:r>
        <w:r w:rsidR="00E15440">
          <w:rPr>
            <w:noProof/>
            <w:webHidden/>
          </w:rPr>
          <w:t>14</w:t>
        </w:r>
        <w:r w:rsidR="00E15440">
          <w:rPr>
            <w:noProof/>
            <w:webHidden/>
          </w:rPr>
          <w:fldChar w:fldCharType="end"/>
        </w:r>
      </w:hyperlink>
    </w:p>
    <w:p w14:paraId="142D6D9C" w14:textId="7A55BADB" w:rsidR="00E15440" w:rsidRDefault="006806C3">
      <w:pPr>
        <w:pStyle w:val="TOC1"/>
        <w:tabs>
          <w:tab w:val="left" w:pos="440"/>
        </w:tabs>
        <w:rPr>
          <w:b w:val="0"/>
          <w:bCs w:val="0"/>
          <w:szCs w:val="22"/>
          <w:lang w:val="en-GB" w:eastAsia="en-GB" w:bidi="ar-SA"/>
        </w:rPr>
      </w:pPr>
      <w:hyperlink w:anchor="_Toc451948699" w:history="1">
        <w:r w:rsidR="00E15440" w:rsidRPr="00E70653">
          <w:rPr>
            <w:rStyle w:val="Hyperlink"/>
            <w:rFonts w:ascii="Calibri" w:hAnsi="Calibri"/>
            <w:u w:color="4472C4" w:themeColor="accent5"/>
          </w:rPr>
          <w:t>5.</w:t>
        </w:r>
        <w:r w:rsidR="00E15440">
          <w:rPr>
            <w:b w:val="0"/>
            <w:bCs w:val="0"/>
            <w:szCs w:val="22"/>
            <w:lang w:val="en-GB" w:eastAsia="en-GB" w:bidi="ar-SA"/>
          </w:rPr>
          <w:tab/>
        </w:r>
        <w:r w:rsidR="00E15440" w:rsidRPr="00E70653">
          <w:rPr>
            <w:rStyle w:val="Hyperlink"/>
          </w:rPr>
          <w:t>Mainstreaming Steps</w:t>
        </w:r>
        <w:r w:rsidR="00E15440">
          <w:rPr>
            <w:webHidden/>
          </w:rPr>
          <w:tab/>
        </w:r>
        <w:r w:rsidR="00E15440">
          <w:rPr>
            <w:webHidden/>
          </w:rPr>
          <w:fldChar w:fldCharType="begin"/>
        </w:r>
        <w:r w:rsidR="00E15440">
          <w:rPr>
            <w:webHidden/>
          </w:rPr>
          <w:instrText xml:space="preserve"> PAGEREF _Toc451948699 \h </w:instrText>
        </w:r>
        <w:r w:rsidR="00E15440">
          <w:rPr>
            <w:webHidden/>
          </w:rPr>
        </w:r>
        <w:r w:rsidR="00E15440">
          <w:rPr>
            <w:webHidden/>
          </w:rPr>
          <w:fldChar w:fldCharType="separate"/>
        </w:r>
        <w:r w:rsidR="00E15440">
          <w:rPr>
            <w:webHidden/>
          </w:rPr>
          <w:t>18</w:t>
        </w:r>
        <w:r w:rsidR="00E15440">
          <w:rPr>
            <w:webHidden/>
          </w:rPr>
          <w:fldChar w:fldCharType="end"/>
        </w:r>
      </w:hyperlink>
    </w:p>
    <w:p w14:paraId="2DD2A342" w14:textId="6D5B7AB2" w:rsidR="00E15440" w:rsidRDefault="006806C3">
      <w:pPr>
        <w:pStyle w:val="TOC1"/>
        <w:tabs>
          <w:tab w:val="left" w:pos="440"/>
        </w:tabs>
        <w:rPr>
          <w:b w:val="0"/>
          <w:bCs w:val="0"/>
          <w:szCs w:val="22"/>
          <w:lang w:val="en-GB" w:eastAsia="en-GB" w:bidi="ar-SA"/>
        </w:rPr>
      </w:pPr>
      <w:hyperlink w:anchor="_Toc451948700" w:history="1">
        <w:r w:rsidR="00E15440" w:rsidRPr="00E70653">
          <w:rPr>
            <w:rStyle w:val="Hyperlink"/>
            <w:rFonts w:ascii="Calibri" w:hAnsi="Calibri"/>
            <w:u w:color="4472C4" w:themeColor="accent5"/>
          </w:rPr>
          <w:t>6.</w:t>
        </w:r>
        <w:r w:rsidR="00E15440">
          <w:rPr>
            <w:b w:val="0"/>
            <w:bCs w:val="0"/>
            <w:szCs w:val="22"/>
            <w:lang w:val="en-GB" w:eastAsia="en-GB" w:bidi="ar-SA"/>
          </w:rPr>
          <w:tab/>
        </w:r>
        <w:r w:rsidR="00E15440" w:rsidRPr="00E70653">
          <w:rPr>
            <w:rStyle w:val="Hyperlink"/>
          </w:rPr>
          <w:t>Mainstreaming Components</w:t>
        </w:r>
        <w:r w:rsidR="00E15440">
          <w:rPr>
            <w:webHidden/>
          </w:rPr>
          <w:tab/>
        </w:r>
        <w:r w:rsidR="00E15440">
          <w:rPr>
            <w:webHidden/>
          </w:rPr>
          <w:fldChar w:fldCharType="begin"/>
        </w:r>
        <w:r w:rsidR="00E15440">
          <w:rPr>
            <w:webHidden/>
          </w:rPr>
          <w:instrText xml:space="preserve"> PAGEREF _Toc451948700 \h </w:instrText>
        </w:r>
        <w:r w:rsidR="00E15440">
          <w:rPr>
            <w:webHidden/>
          </w:rPr>
        </w:r>
        <w:r w:rsidR="00E15440">
          <w:rPr>
            <w:webHidden/>
          </w:rPr>
          <w:fldChar w:fldCharType="separate"/>
        </w:r>
        <w:r w:rsidR="00E15440">
          <w:rPr>
            <w:webHidden/>
          </w:rPr>
          <w:t>20</w:t>
        </w:r>
        <w:r w:rsidR="00E15440">
          <w:rPr>
            <w:webHidden/>
          </w:rPr>
          <w:fldChar w:fldCharType="end"/>
        </w:r>
      </w:hyperlink>
    </w:p>
    <w:p w14:paraId="04CDED8D" w14:textId="76B86D69" w:rsidR="00E15440" w:rsidRDefault="006806C3">
      <w:pPr>
        <w:pStyle w:val="TOC2"/>
        <w:rPr>
          <w:noProof/>
          <w:szCs w:val="22"/>
          <w:lang w:val="en-GB" w:eastAsia="en-GB" w:bidi="ar-SA"/>
        </w:rPr>
      </w:pPr>
      <w:hyperlink w:anchor="_Toc451948701" w:history="1">
        <w:r w:rsidR="00E15440" w:rsidRPr="00E70653">
          <w:rPr>
            <w:rStyle w:val="Hyperlink"/>
            <w:noProof/>
          </w:rPr>
          <w:t>Guidance on the mainstreaming components</w:t>
        </w:r>
        <w:r w:rsidR="00E15440">
          <w:rPr>
            <w:noProof/>
            <w:webHidden/>
          </w:rPr>
          <w:tab/>
        </w:r>
        <w:r w:rsidR="00E15440">
          <w:rPr>
            <w:noProof/>
            <w:webHidden/>
          </w:rPr>
          <w:fldChar w:fldCharType="begin"/>
        </w:r>
        <w:r w:rsidR="00E15440">
          <w:rPr>
            <w:noProof/>
            <w:webHidden/>
          </w:rPr>
          <w:instrText xml:space="preserve"> PAGEREF _Toc451948701 \h </w:instrText>
        </w:r>
        <w:r w:rsidR="00E15440">
          <w:rPr>
            <w:noProof/>
            <w:webHidden/>
          </w:rPr>
        </w:r>
        <w:r w:rsidR="00E15440">
          <w:rPr>
            <w:noProof/>
            <w:webHidden/>
          </w:rPr>
          <w:fldChar w:fldCharType="separate"/>
        </w:r>
        <w:r w:rsidR="00E15440">
          <w:rPr>
            <w:noProof/>
            <w:webHidden/>
          </w:rPr>
          <w:t>22</w:t>
        </w:r>
        <w:r w:rsidR="00E15440">
          <w:rPr>
            <w:noProof/>
            <w:webHidden/>
          </w:rPr>
          <w:fldChar w:fldCharType="end"/>
        </w:r>
      </w:hyperlink>
    </w:p>
    <w:p w14:paraId="6B1EF424" w14:textId="41AED85F" w:rsidR="00E15440" w:rsidRDefault="006806C3">
      <w:pPr>
        <w:pStyle w:val="TOC2"/>
        <w:rPr>
          <w:noProof/>
          <w:szCs w:val="22"/>
          <w:lang w:val="en-GB" w:eastAsia="en-GB" w:bidi="ar-SA"/>
        </w:rPr>
      </w:pPr>
      <w:hyperlink w:anchor="_Toc451948702" w:history="1">
        <w:r w:rsidR="00E15440" w:rsidRPr="00E70653">
          <w:rPr>
            <w:rStyle w:val="Hyperlink"/>
            <w:noProof/>
          </w:rPr>
          <w:t>KNOWLEDGE</w:t>
        </w:r>
        <w:r w:rsidR="00E15440">
          <w:rPr>
            <w:noProof/>
            <w:webHidden/>
          </w:rPr>
          <w:tab/>
        </w:r>
        <w:r w:rsidR="00E15440">
          <w:rPr>
            <w:noProof/>
            <w:webHidden/>
          </w:rPr>
          <w:fldChar w:fldCharType="begin"/>
        </w:r>
        <w:r w:rsidR="00E15440">
          <w:rPr>
            <w:noProof/>
            <w:webHidden/>
          </w:rPr>
          <w:instrText xml:space="preserve"> PAGEREF _Toc451948702 \h </w:instrText>
        </w:r>
        <w:r w:rsidR="00E15440">
          <w:rPr>
            <w:noProof/>
            <w:webHidden/>
          </w:rPr>
        </w:r>
        <w:r w:rsidR="00E15440">
          <w:rPr>
            <w:noProof/>
            <w:webHidden/>
          </w:rPr>
          <w:fldChar w:fldCharType="separate"/>
        </w:r>
        <w:r w:rsidR="00E15440">
          <w:rPr>
            <w:noProof/>
            <w:webHidden/>
          </w:rPr>
          <w:t>23</w:t>
        </w:r>
        <w:r w:rsidR="00E15440">
          <w:rPr>
            <w:noProof/>
            <w:webHidden/>
          </w:rPr>
          <w:fldChar w:fldCharType="end"/>
        </w:r>
      </w:hyperlink>
    </w:p>
    <w:p w14:paraId="1D88F294" w14:textId="776BED85" w:rsidR="00E15440" w:rsidRDefault="006806C3">
      <w:pPr>
        <w:pStyle w:val="TOC2"/>
        <w:rPr>
          <w:noProof/>
          <w:szCs w:val="22"/>
          <w:lang w:val="en-GB" w:eastAsia="en-GB" w:bidi="ar-SA"/>
        </w:rPr>
      </w:pPr>
      <w:hyperlink w:anchor="_Toc451948703" w:history="1">
        <w:r w:rsidR="00E15440" w:rsidRPr="00E70653">
          <w:rPr>
            <w:rStyle w:val="Hyperlink"/>
            <w:noProof/>
          </w:rPr>
          <w:t>POLICY</w:t>
        </w:r>
        <w:r w:rsidR="00E15440">
          <w:rPr>
            <w:noProof/>
            <w:webHidden/>
          </w:rPr>
          <w:tab/>
        </w:r>
        <w:r w:rsidR="00E15440">
          <w:rPr>
            <w:noProof/>
            <w:webHidden/>
          </w:rPr>
          <w:fldChar w:fldCharType="begin"/>
        </w:r>
        <w:r w:rsidR="00E15440">
          <w:rPr>
            <w:noProof/>
            <w:webHidden/>
          </w:rPr>
          <w:instrText xml:space="preserve"> PAGEREF _Toc451948703 \h </w:instrText>
        </w:r>
        <w:r w:rsidR="00E15440">
          <w:rPr>
            <w:noProof/>
            <w:webHidden/>
          </w:rPr>
        </w:r>
        <w:r w:rsidR="00E15440">
          <w:rPr>
            <w:noProof/>
            <w:webHidden/>
          </w:rPr>
          <w:fldChar w:fldCharType="separate"/>
        </w:r>
        <w:r w:rsidR="00E15440">
          <w:rPr>
            <w:noProof/>
            <w:webHidden/>
          </w:rPr>
          <w:t>25</w:t>
        </w:r>
        <w:r w:rsidR="00E15440">
          <w:rPr>
            <w:noProof/>
            <w:webHidden/>
          </w:rPr>
          <w:fldChar w:fldCharType="end"/>
        </w:r>
      </w:hyperlink>
    </w:p>
    <w:p w14:paraId="29CEE804" w14:textId="6E832146" w:rsidR="00E15440" w:rsidRDefault="00E15440" w:rsidP="00E15440">
      <w:pPr>
        <w:pStyle w:val="TOC3"/>
        <w:ind w:left="0"/>
        <w:rPr>
          <w:noProof/>
          <w:szCs w:val="22"/>
          <w:lang w:val="en-GB" w:eastAsia="en-GB" w:bidi="ar-SA"/>
        </w:rPr>
      </w:pPr>
      <w:r>
        <w:rPr>
          <w:rStyle w:val="Hyperlink"/>
          <w:noProof/>
        </w:rPr>
        <w:t xml:space="preserve">    </w:t>
      </w:r>
      <w:hyperlink w:anchor="_Toc451948704" w:history="1">
        <w:r w:rsidRPr="00E70653">
          <w:rPr>
            <w:rStyle w:val="Hyperlink"/>
            <w:noProof/>
          </w:rPr>
          <w:t>FINANCE</w:t>
        </w:r>
        <w:r>
          <w:rPr>
            <w:noProof/>
            <w:webHidden/>
          </w:rPr>
          <w:tab/>
        </w:r>
        <w:r>
          <w:rPr>
            <w:noProof/>
            <w:webHidden/>
          </w:rPr>
          <w:fldChar w:fldCharType="begin"/>
        </w:r>
        <w:r>
          <w:rPr>
            <w:noProof/>
            <w:webHidden/>
          </w:rPr>
          <w:instrText xml:space="preserve"> PAGEREF _Toc451948704 \h </w:instrText>
        </w:r>
        <w:r>
          <w:rPr>
            <w:noProof/>
            <w:webHidden/>
          </w:rPr>
        </w:r>
        <w:r>
          <w:rPr>
            <w:noProof/>
            <w:webHidden/>
          </w:rPr>
          <w:fldChar w:fldCharType="separate"/>
        </w:r>
        <w:r>
          <w:rPr>
            <w:noProof/>
            <w:webHidden/>
          </w:rPr>
          <w:t>27</w:t>
        </w:r>
        <w:r>
          <w:rPr>
            <w:noProof/>
            <w:webHidden/>
          </w:rPr>
          <w:fldChar w:fldCharType="end"/>
        </w:r>
      </w:hyperlink>
    </w:p>
    <w:p w14:paraId="01A7A98A" w14:textId="33181D33" w:rsidR="00E15440" w:rsidRDefault="006806C3">
      <w:pPr>
        <w:pStyle w:val="TOC2"/>
        <w:rPr>
          <w:noProof/>
          <w:szCs w:val="22"/>
          <w:lang w:val="en-GB" w:eastAsia="en-GB" w:bidi="ar-SA"/>
        </w:rPr>
      </w:pPr>
      <w:hyperlink w:anchor="_Toc451948705" w:history="1">
        <w:r w:rsidR="00E15440" w:rsidRPr="00E70653">
          <w:rPr>
            <w:rStyle w:val="Hyperlink"/>
            <w:noProof/>
          </w:rPr>
          <w:t>ORGANISATION</w:t>
        </w:r>
        <w:r w:rsidR="00E15440">
          <w:rPr>
            <w:noProof/>
            <w:webHidden/>
          </w:rPr>
          <w:tab/>
        </w:r>
        <w:r w:rsidR="00E15440">
          <w:rPr>
            <w:noProof/>
            <w:webHidden/>
          </w:rPr>
          <w:fldChar w:fldCharType="begin"/>
        </w:r>
        <w:r w:rsidR="00E15440">
          <w:rPr>
            <w:noProof/>
            <w:webHidden/>
          </w:rPr>
          <w:instrText xml:space="preserve"> PAGEREF _Toc451948705 \h </w:instrText>
        </w:r>
        <w:r w:rsidR="00E15440">
          <w:rPr>
            <w:noProof/>
            <w:webHidden/>
          </w:rPr>
        </w:r>
        <w:r w:rsidR="00E15440">
          <w:rPr>
            <w:noProof/>
            <w:webHidden/>
          </w:rPr>
          <w:fldChar w:fldCharType="separate"/>
        </w:r>
        <w:r w:rsidR="00E15440">
          <w:rPr>
            <w:noProof/>
            <w:webHidden/>
          </w:rPr>
          <w:t>29</w:t>
        </w:r>
        <w:r w:rsidR="00E15440">
          <w:rPr>
            <w:noProof/>
            <w:webHidden/>
          </w:rPr>
          <w:fldChar w:fldCharType="end"/>
        </w:r>
      </w:hyperlink>
    </w:p>
    <w:p w14:paraId="181FBC92" w14:textId="17065450" w:rsidR="00E15440" w:rsidRDefault="006806C3">
      <w:pPr>
        <w:pStyle w:val="TOC2"/>
        <w:rPr>
          <w:noProof/>
          <w:szCs w:val="22"/>
          <w:lang w:val="en-GB" w:eastAsia="en-GB" w:bidi="ar-SA"/>
        </w:rPr>
      </w:pPr>
      <w:hyperlink w:anchor="_Toc451948706" w:history="1">
        <w:r w:rsidR="00E15440" w:rsidRPr="00E70653">
          <w:rPr>
            <w:rStyle w:val="Hyperlink"/>
            <w:noProof/>
          </w:rPr>
          <w:t>STAKEHOLDERS</w:t>
        </w:r>
        <w:r w:rsidR="00E15440">
          <w:rPr>
            <w:noProof/>
            <w:webHidden/>
          </w:rPr>
          <w:tab/>
        </w:r>
        <w:r w:rsidR="00E15440">
          <w:rPr>
            <w:noProof/>
            <w:webHidden/>
          </w:rPr>
          <w:fldChar w:fldCharType="begin"/>
        </w:r>
        <w:r w:rsidR="00E15440">
          <w:rPr>
            <w:noProof/>
            <w:webHidden/>
          </w:rPr>
          <w:instrText xml:space="preserve"> PAGEREF _Toc451948706 \h </w:instrText>
        </w:r>
        <w:r w:rsidR="00E15440">
          <w:rPr>
            <w:noProof/>
            <w:webHidden/>
          </w:rPr>
        </w:r>
        <w:r w:rsidR="00E15440">
          <w:rPr>
            <w:noProof/>
            <w:webHidden/>
          </w:rPr>
          <w:fldChar w:fldCharType="separate"/>
        </w:r>
        <w:r w:rsidR="00E15440">
          <w:rPr>
            <w:noProof/>
            <w:webHidden/>
          </w:rPr>
          <w:t>31</w:t>
        </w:r>
        <w:r w:rsidR="00E15440">
          <w:rPr>
            <w:noProof/>
            <w:webHidden/>
          </w:rPr>
          <w:fldChar w:fldCharType="end"/>
        </w:r>
      </w:hyperlink>
    </w:p>
    <w:p w14:paraId="1491F1AD" w14:textId="555AA12E" w:rsidR="00E15440" w:rsidRDefault="006806C3">
      <w:pPr>
        <w:pStyle w:val="TOC1"/>
        <w:tabs>
          <w:tab w:val="left" w:pos="440"/>
        </w:tabs>
        <w:rPr>
          <w:b w:val="0"/>
          <w:bCs w:val="0"/>
          <w:szCs w:val="22"/>
          <w:lang w:val="en-GB" w:eastAsia="en-GB" w:bidi="ar-SA"/>
        </w:rPr>
      </w:pPr>
      <w:hyperlink w:anchor="_Toc451948707" w:history="1">
        <w:r w:rsidR="00E15440" w:rsidRPr="00E70653">
          <w:rPr>
            <w:rStyle w:val="Hyperlink"/>
            <w:rFonts w:ascii="Calibri" w:hAnsi="Calibri"/>
            <w:u w:color="4472C4" w:themeColor="accent5"/>
          </w:rPr>
          <w:t>7.</w:t>
        </w:r>
        <w:r w:rsidR="00E15440">
          <w:rPr>
            <w:b w:val="0"/>
            <w:bCs w:val="0"/>
            <w:szCs w:val="22"/>
            <w:lang w:val="en-GB" w:eastAsia="en-GB" w:bidi="ar-SA"/>
          </w:rPr>
          <w:tab/>
        </w:r>
        <w:r w:rsidR="00E15440" w:rsidRPr="00E70653">
          <w:rPr>
            <w:rStyle w:val="Hyperlink"/>
          </w:rPr>
          <w:t>Linking Mainstreaming Components/ Application of the mainstreaming tool</w:t>
        </w:r>
        <w:r w:rsidR="00E15440">
          <w:rPr>
            <w:webHidden/>
          </w:rPr>
          <w:tab/>
        </w:r>
        <w:r w:rsidR="00E15440">
          <w:rPr>
            <w:webHidden/>
          </w:rPr>
          <w:fldChar w:fldCharType="begin"/>
        </w:r>
        <w:r w:rsidR="00E15440">
          <w:rPr>
            <w:webHidden/>
          </w:rPr>
          <w:instrText xml:space="preserve"> PAGEREF _Toc451948707 \h </w:instrText>
        </w:r>
        <w:r w:rsidR="00E15440">
          <w:rPr>
            <w:webHidden/>
          </w:rPr>
        </w:r>
        <w:r w:rsidR="00E15440">
          <w:rPr>
            <w:webHidden/>
          </w:rPr>
          <w:fldChar w:fldCharType="separate"/>
        </w:r>
        <w:r w:rsidR="00E15440">
          <w:rPr>
            <w:webHidden/>
          </w:rPr>
          <w:t>34</w:t>
        </w:r>
        <w:r w:rsidR="00E15440">
          <w:rPr>
            <w:webHidden/>
          </w:rPr>
          <w:fldChar w:fldCharType="end"/>
        </w:r>
      </w:hyperlink>
    </w:p>
    <w:p w14:paraId="3DF14783" w14:textId="418D882D" w:rsidR="00E15440" w:rsidRDefault="006806C3">
      <w:pPr>
        <w:pStyle w:val="TOC2"/>
        <w:rPr>
          <w:noProof/>
          <w:szCs w:val="22"/>
          <w:lang w:val="en-GB" w:eastAsia="en-GB" w:bidi="ar-SA"/>
        </w:rPr>
      </w:pPr>
      <w:hyperlink w:anchor="_Toc451948708" w:history="1">
        <w:r w:rsidR="00E15440" w:rsidRPr="00E70653">
          <w:rPr>
            <w:rStyle w:val="Hyperlink"/>
            <w:noProof/>
          </w:rPr>
          <w:t>Case study 1:  National Level Mainstreaming in the Solomon Islands</w:t>
        </w:r>
        <w:r w:rsidR="00E15440">
          <w:rPr>
            <w:noProof/>
            <w:webHidden/>
          </w:rPr>
          <w:tab/>
        </w:r>
        <w:r w:rsidR="00E15440">
          <w:rPr>
            <w:noProof/>
            <w:webHidden/>
          </w:rPr>
          <w:fldChar w:fldCharType="begin"/>
        </w:r>
        <w:r w:rsidR="00E15440">
          <w:rPr>
            <w:noProof/>
            <w:webHidden/>
          </w:rPr>
          <w:instrText xml:space="preserve"> PAGEREF _Toc451948708 \h </w:instrText>
        </w:r>
        <w:r w:rsidR="00E15440">
          <w:rPr>
            <w:noProof/>
            <w:webHidden/>
          </w:rPr>
        </w:r>
        <w:r w:rsidR="00E15440">
          <w:rPr>
            <w:noProof/>
            <w:webHidden/>
          </w:rPr>
          <w:fldChar w:fldCharType="separate"/>
        </w:r>
        <w:r w:rsidR="00E15440">
          <w:rPr>
            <w:noProof/>
            <w:webHidden/>
          </w:rPr>
          <w:t>34</w:t>
        </w:r>
        <w:r w:rsidR="00E15440">
          <w:rPr>
            <w:noProof/>
            <w:webHidden/>
          </w:rPr>
          <w:fldChar w:fldCharType="end"/>
        </w:r>
      </w:hyperlink>
    </w:p>
    <w:p w14:paraId="6C513D9F" w14:textId="60F78494" w:rsidR="00E15440" w:rsidRDefault="006806C3">
      <w:pPr>
        <w:pStyle w:val="TOC2"/>
        <w:rPr>
          <w:noProof/>
          <w:szCs w:val="22"/>
          <w:lang w:val="en-GB" w:eastAsia="en-GB" w:bidi="ar-SA"/>
        </w:rPr>
      </w:pPr>
      <w:hyperlink w:anchor="_Toc451948709" w:history="1">
        <w:r w:rsidR="00E15440" w:rsidRPr="00E70653">
          <w:rPr>
            <w:rStyle w:val="Hyperlink"/>
            <w:noProof/>
          </w:rPr>
          <w:t>Case study 2:  National Level Mainstreaming in Mozambique</w:t>
        </w:r>
        <w:r w:rsidR="00E15440">
          <w:rPr>
            <w:noProof/>
            <w:webHidden/>
          </w:rPr>
          <w:tab/>
        </w:r>
        <w:r w:rsidR="00E15440">
          <w:rPr>
            <w:noProof/>
            <w:webHidden/>
          </w:rPr>
          <w:fldChar w:fldCharType="begin"/>
        </w:r>
        <w:r w:rsidR="00E15440">
          <w:rPr>
            <w:noProof/>
            <w:webHidden/>
          </w:rPr>
          <w:instrText xml:space="preserve"> PAGEREF _Toc451948709 \h </w:instrText>
        </w:r>
        <w:r w:rsidR="00E15440">
          <w:rPr>
            <w:noProof/>
            <w:webHidden/>
          </w:rPr>
        </w:r>
        <w:r w:rsidR="00E15440">
          <w:rPr>
            <w:noProof/>
            <w:webHidden/>
          </w:rPr>
          <w:fldChar w:fldCharType="separate"/>
        </w:r>
        <w:r w:rsidR="00E15440">
          <w:rPr>
            <w:noProof/>
            <w:webHidden/>
          </w:rPr>
          <w:t>37</w:t>
        </w:r>
        <w:r w:rsidR="00E15440">
          <w:rPr>
            <w:noProof/>
            <w:webHidden/>
          </w:rPr>
          <w:fldChar w:fldCharType="end"/>
        </w:r>
      </w:hyperlink>
    </w:p>
    <w:p w14:paraId="03B5FACC" w14:textId="04B7D0F0" w:rsidR="00E15440" w:rsidRDefault="006806C3">
      <w:pPr>
        <w:pStyle w:val="TOC2"/>
        <w:rPr>
          <w:noProof/>
          <w:szCs w:val="22"/>
          <w:lang w:val="en-GB" w:eastAsia="en-GB" w:bidi="ar-SA"/>
        </w:rPr>
      </w:pPr>
      <w:hyperlink w:anchor="_Toc451948710" w:history="1">
        <w:r w:rsidR="00E15440" w:rsidRPr="00E70653">
          <w:rPr>
            <w:rStyle w:val="Hyperlink"/>
            <w:noProof/>
          </w:rPr>
          <w:t>Case study 3:   Agriculture sector Mainstreaming in….</w:t>
        </w:r>
        <w:r w:rsidR="00E15440">
          <w:rPr>
            <w:noProof/>
            <w:webHidden/>
          </w:rPr>
          <w:tab/>
        </w:r>
        <w:r w:rsidR="00E15440">
          <w:rPr>
            <w:noProof/>
            <w:webHidden/>
          </w:rPr>
          <w:fldChar w:fldCharType="begin"/>
        </w:r>
        <w:r w:rsidR="00E15440">
          <w:rPr>
            <w:noProof/>
            <w:webHidden/>
          </w:rPr>
          <w:instrText xml:space="preserve"> PAGEREF _Toc451948710 \h </w:instrText>
        </w:r>
        <w:r w:rsidR="00E15440">
          <w:rPr>
            <w:noProof/>
            <w:webHidden/>
          </w:rPr>
        </w:r>
        <w:r w:rsidR="00E15440">
          <w:rPr>
            <w:noProof/>
            <w:webHidden/>
          </w:rPr>
          <w:fldChar w:fldCharType="separate"/>
        </w:r>
        <w:r w:rsidR="00E15440">
          <w:rPr>
            <w:noProof/>
            <w:webHidden/>
          </w:rPr>
          <w:t>37</w:t>
        </w:r>
        <w:r w:rsidR="00E15440">
          <w:rPr>
            <w:noProof/>
            <w:webHidden/>
          </w:rPr>
          <w:fldChar w:fldCharType="end"/>
        </w:r>
      </w:hyperlink>
    </w:p>
    <w:p w14:paraId="7763054D" w14:textId="759B9103" w:rsidR="00E15440" w:rsidRDefault="006806C3">
      <w:pPr>
        <w:pStyle w:val="TOC2"/>
        <w:rPr>
          <w:noProof/>
          <w:szCs w:val="22"/>
          <w:lang w:val="en-GB" w:eastAsia="en-GB" w:bidi="ar-SA"/>
        </w:rPr>
      </w:pPr>
      <w:hyperlink w:anchor="_Toc451948711" w:history="1">
        <w:r w:rsidR="00E15440" w:rsidRPr="00E70653">
          <w:rPr>
            <w:rStyle w:val="Hyperlink"/>
            <w:noProof/>
          </w:rPr>
          <w:t xml:space="preserve">Case study 4:  X Sector Mainstreaming in </w:t>
        </w:r>
        <w:r w:rsidR="00E15440" w:rsidRPr="00E70653">
          <w:rPr>
            <w:rStyle w:val="Hyperlink"/>
            <w:noProof/>
            <w:highlight w:val="yellow"/>
          </w:rPr>
          <w:t>?</w:t>
        </w:r>
        <w:r w:rsidR="00E15440">
          <w:rPr>
            <w:noProof/>
            <w:webHidden/>
          </w:rPr>
          <w:tab/>
        </w:r>
        <w:r w:rsidR="00E15440">
          <w:rPr>
            <w:noProof/>
            <w:webHidden/>
          </w:rPr>
          <w:fldChar w:fldCharType="begin"/>
        </w:r>
        <w:r w:rsidR="00E15440">
          <w:rPr>
            <w:noProof/>
            <w:webHidden/>
          </w:rPr>
          <w:instrText xml:space="preserve"> PAGEREF _Toc451948711 \h </w:instrText>
        </w:r>
        <w:r w:rsidR="00E15440">
          <w:rPr>
            <w:noProof/>
            <w:webHidden/>
          </w:rPr>
        </w:r>
        <w:r w:rsidR="00E15440">
          <w:rPr>
            <w:noProof/>
            <w:webHidden/>
          </w:rPr>
          <w:fldChar w:fldCharType="separate"/>
        </w:r>
        <w:r w:rsidR="00E15440">
          <w:rPr>
            <w:noProof/>
            <w:webHidden/>
          </w:rPr>
          <w:t>37</w:t>
        </w:r>
        <w:r w:rsidR="00E15440">
          <w:rPr>
            <w:noProof/>
            <w:webHidden/>
          </w:rPr>
          <w:fldChar w:fldCharType="end"/>
        </w:r>
      </w:hyperlink>
    </w:p>
    <w:p w14:paraId="2CCF46B9" w14:textId="1429AA26" w:rsidR="00E15440" w:rsidRDefault="006806C3">
      <w:pPr>
        <w:pStyle w:val="TOC2"/>
        <w:rPr>
          <w:noProof/>
          <w:szCs w:val="22"/>
          <w:lang w:val="en-GB" w:eastAsia="en-GB" w:bidi="ar-SA"/>
        </w:rPr>
      </w:pPr>
      <w:hyperlink w:anchor="_Toc451948712" w:history="1">
        <w:r w:rsidR="00E15440" w:rsidRPr="00E70653">
          <w:rPr>
            <w:rStyle w:val="Hyperlink"/>
            <w:noProof/>
          </w:rPr>
          <w:t xml:space="preserve">Case study 5:  Sub-national Mainstreaming in </w:t>
        </w:r>
        <w:r w:rsidR="00E15440" w:rsidRPr="00E70653">
          <w:rPr>
            <w:rStyle w:val="Hyperlink"/>
            <w:noProof/>
            <w:highlight w:val="yellow"/>
          </w:rPr>
          <w:t>tbc</w:t>
        </w:r>
        <w:r w:rsidR="00E15440">
          <w:rPr>
            <w:noProof/>
            <w:webHidden/>
          </w:rPr>
          <w:tab/>
        </w:r>
        <w:r w:rsidR="00E15440">
          <w:rPr>
            <w:noProof/>
            <w:webHidden/>
          </w:rPr>
          <w:fldChar w:fldCharType="begin"/>
        </w:r>
        <w:r w:rsidR="00E15440">
          <w:rPr>
            <w:noProof/>
            <w:webHidden/>
          </w:rPr>
          <w:instrText xml:space="preserve"> PAGEREF _Toc451948712 \h </w:instrText>
        </w:r>
        <w:r w:rsidR="00E15440">
          <w:rPr>
            <w:noProof/>
            <w:webHidden/>
          </w:rPr>
        </w:r>
        <w:r w:rsidR="00E15440">
          <w:rPr>
            <w:noProof/>
            <w:webHidden/>
          </w:rPr>
          <w:fldChar w:fldCharType="separate"/>
        </w:r>
        <w:r w:rsidR="00E15440">
          <w:rPr>
            <w:noProof/>
            <w:webHidden/>
          </w:rPr>
          <w:t>37</w:t>
        </w:r>
        <w:r w:rsidR="00E15440">
          <w:rPr>
            <w:noProof/>
            <w:webHidden/>
          </w:rPr>
          <w:fldChar w:fldCharType="end"/>
        </w:r>
      </w:hyperlink>
    </w:p>
    <w:p w14:paraId="26D8E27A" w14:textId="1DC5F686" w:rsidR="00E15440" w:rsidRDefault="006806C3">
      <w:pPr>
        <w:pStyle w:val="TOC2"/>
        <w:rPr>
          <w:noProof/>
          <w:szCs w:val="22"/>
          <w:lang w:val="en-GB" w:eastAsia="en-GB" w:bidi="ar-SA"/>
        </w:rPr>
      </w:pPr>
      <w:hyperlink w:anchor="_Toc451948713" w:history="1">
        <w:r w:rsidR="00E15440" w:rsidRPr="00E70653">
          <w:rPr>
            <w:rStyle w:val="Hyperlink"/>
            <w:noProof/>
          </w:rPr>
          <w:t>Case study 6:  Sub-national Mainstreaming in Vanuatu</w:t>
        </w:r>
        <w:r w:rsidR="00E15440">
          <w:rPr>
            <w:noProof/>
            <w:webHidden/>
          </w:rPr>
          <w:tab/>
        </w:r>
        <w:r w:rsidR="00E15440">
          <w:rPr>
            <w:noProof/>
            <w:webHidden/>
          </w:rPr>
          <w:fldChar w:fldCharType="begin"/>
        </w:r>
        <w:r w:rsidR="00E15440">
          <w:rPr>
            <w:noProof/>
            <w:webHidden/>
          </w:rPr>
          <w:instrText xml:space="preserve"> PAGEREF _Toc451948713 \h </w:instrText>
        </w:r>
        <w:r w:rsidR="00E15440">
          <w:rPr>
            <w:noProof/>
            <w:webHidden/>
          </w:rPr>
        </w:r>
        <w:r w:rsidR="00E15440">
          <w:rPr>
            <w:noProof/>
            <w:webHidden/>
          </w:rPr>
          <w:fldChar w:fldCharType="separate"/>
        </w:r>
        <w:r w:rsidR="00E15440">
          <w:rPr>
            <w:noProof/>
            <w:webHidden/>
          </w:rPr>
          <w:t>37</w:t>
        </w:r>
        <w:r w:rsidR="00E15440">
          <w:rPr>
            <w:noProof/>
            <w:webHidden/>
          </w:rPr>
          <w:fldChar w:fldCharType="end"/>
        </w:r>
      </w:hyperlink>
    </w:p>
    <w:p w14:paraId="69752FCB" w14:textId="5F7B9A0F" w:rsidR="00E15440" w:rsidRDefault="006806C3">
      <w:pPr>
        <w:pStyle w:val="TOC1"/>
        <w:tabs>
          <w:tab w:val="left" w:pos="440"/>
        </w:tabs>
        <w:rPr>
          <w:b w:val="0"/>
          <w:bCs w:val="0"/>
          <w:szCs w:val="22"/>
          <w:lang w:val="en-GB" w:eastAsia="en-GB" w:bidi="ar-SA"/>
        </w:rPr>
      </w:pPr>
      <w:hyperlink w:anchor="_Toc451948714" w:history="1">
        <w:r w:rsidR="00E15440" w:rsidRPr="00E70653">
          <w:rPr>
            <w:rStyle w:val="Hyperlink"/>
            <w:rFonts w:ascii="Calibri" w:hAnsi="Calibri"/>
            <w:u w:color="4472C4" w:themeColor="accent5"/>
          </w:rPr>
          <w:t>8.</w:t>
        </w:r>
        <w:r w:rsidR="00E15440">
          <w:rPr>
            <w:b w:val="0"/>
            <w:bCs w:val="0"/>
            <w:szCs w:val="22"/>
            <w:lang w:val="en-GB" w:eastAsia="en-GB" w:bidi="ar-SA"/>
          </w:rPr>
          <w:tab/>
        </w:r>
        <w:r w:rsidR="00E15440" w:rsidRPr="00E70653">
          <w:rPr>
            <w:rStyle w:val="Hyperlink"/>
          </w:rPr>
          <w:t>Mainstreaming Outputs and Outcome</w:t>
        </w:r>
        <w:r w:rsidR="00E15440">
          <w:rPr>
            <w:webHidden/>
          </w:rPr>
          <w:tab/>
        </w:r>
        <w:r w:rsidR="00E15440">
          <w:rPr>
            <w:webHidden/>
          </w:rPr>
          <w:fldChar w:fldCharType="begin"/>
        </w:r>
        <w:r w:rsidR="00E15440">
          <w:rPr>
            <w:webHidden/>
          </w:rPr>
          <w:instrText xml:space="preserve"> PAGEREF _Toc451948714 \h </w:instrText>
        </w:r>
        <w:r w:rsidR="00E15440">
          <w:rPr>
            <w:webHidden/>
          </w:rPr>
        </w:r>
        <w:r w:rsidR="00E15440">
          <w:rPr>
            <w:webHidden/>
          </w:rPr>
          <w:fldChar w:fldCharType="separate"/>
        </w:r>
        <w:r w:rsidR="00E15440">
          <w:rPr>
            <w:webHidden/>
          </w:rPr>
          <w:t>38</w:t>
        </w:r>
        <w:r w:rsidR="00E15440">
          <w:rPr>
            <w:webHidden/>
          </w:rPr>
          <w:fldChar w:fldCharType="end"/>
        </w:r>
      </w:hyperlink>
    </w:p>
    <w:p w14:paraId="4FB777E8" w14:textId="2FB924F6" w:rsidR="00E15440" w:rsidRDefault="006806C3">
      <w:pPr>
        <w:pStyle w:val="TOC1"/>
        <w:rPr>
          <w:b w:val="0"/>
          <w:bCs w:val="0"/>
          <w:szCs w:val="22"/>
          <w:lang w:val="en-GB" w:eastAsia="en-GB" w:bidi="ar-SA"/>
        </w:rPr>
      </w:pPr>
      <w:hyperlink w:anchor="_Toc451948715" w:history="1">
        <w:r w:rsidR="00E15440" w:rsidRPr="00E70653">
          <w:rPr>
            <w:rStyle w:val="Hyperlink"/>
          </w:rPr>
          <w:t>Annex A:  Mainstreaming Entry Points</w:t>
        </w:r>
        <w:r w:rsidR="00E15440">
          <w:rPr>
            <w:webHidden/>
          </w:rPr>
          <w:tab/>
        </w:r>
        <w:r w:rsidR="00E15440">
          <w:rPr>
            <w:webHidden/>
          </w:rPr>
          <w:fldChar w:fldCharType="begin"/>
        </w:r>
        <w:r w:rsidR="00E15440">
          <w:rPr>
            <w:webHidden/>
          </w:rPr>
          <w:instrText xml:space="preserve"> PAGEREF _Toc451948715 \h </w:instrText>
        </w:r>
        <w:r w:rsidR="00E15440">
          <w:rPr>
            <w:webHidden/>
          </w:rPr>
        </w:r>
        <w:r w:rsidR="00E15440">
          <w:rPr>
            <w:webHidden/>
          </w:rPr>
          <w:fldChar w:fldCharType="separate"/>
        </w:r>
        <w:r w:rsidR="00E15440">
          <w:rPr>
            <w:webHidden/>
          </w:rPr>
          <w:t>39</w:t>
        </w:r>
        <w:r w:rsidR="00E15440">
          <w:rPr>
            <w:webHidden/>
          </w:rPr>
          <w:fldChar w:fldCharType="end"/>
        </w:r>
      </w:hyperlink>
    </w:p>
    <w:p w14:paraId="751873CF" w14:textId="0CA27E0E" w:rsidR="00654BC1" w:rsidRDefault="00654BC1" w:rsidP="00D54FE2">
      <w:pPr>
        <w:pStyle w:val="Heading2"/>
        <w:rPr>
          <w:sz w:val="36"/>
          <w:szCs w:val="36"/>
        </w:rPr>
      </w:pPr>
      <w:r>
        <w:rPr>
          <w:sz w:val="36"/>
          <w:szCs w:val="36"/>
        </w:rPr>
        <w:lastRenderedPageBreak/>
        <w:fldChar w:fldCharType="end"/>
      </w:r>
    </w:p>
    <w:p w14:paraId="72A99EE2" w14:textId="0E83E5ED" w:rsidR="00D54FE2" w:rsidRDefault="00D54FE2" w:rsidP="00D54FE2">
      <w:pPr>
        <w:pStyle w:val="Heading2"/>
        <w:rPr>
          <w:sz w:val="36"/>
          <w:szCs w:val="36"/>
        </w:rPr>
      </w:pPr>
      <w:bookmarkStart w:id="3" w:name="_Toc451948683"/>
      <w:r w:rsidRPr="00D54FE2">
        <w:rPr>
          <w:sz w:val="36"/>
          <w:szCs w:val="36"/>
        </w:rPr>
        <w:t>Acknowledgements</w:t>
      </w:r>
      <w:bookmarkEnd w:id="2"/>
      <w:bookmarkEnd w:id="3"/>
    </w:p>
    <w:p w14:paraId="43F90F83" w14:textId="77777777" w:rsidR="00D54FE2" w:rsidRDefault="00D54FE2" w:rsidP="00D54FE2">
      <w:pPr>
        <w:pStyle w:val="Heading2"/>
        <w:rPr>
          <w:sz w:val="36"/>
          <w:szCs w:val="36"/>
        </w:rPr>
      </w:pPr>
    </w:p>
    <w:p w14:paraId="38DD4EFA" w14:textId="2811CC98" w:rsidR="00D54FE2" w:rsidRDefault="006D6C99" w:rsidP="00D54FE2">
      <w:pPr>
        <w:rPr>
          <w:i/>
        </w:rPr>
      </w:pPr>
      <w:r>
        <w:rPr>
          <w:i/>
        </w:rPr>
        <w:t>[Acknowledgements and acronym list to be inserted]</w:t>
      </w:r>
    </w:p>
    <w:p w14:paraId="0B5D472A" w14:textId="77777777" w:rsidR="00C34894" w:rsidRDefault="00C34894" w:rsidP="00D54FE2">
      <w:pPr>
        <w:rPr>
          <w:i/>
        </w:rPr>
      </w:pPr>
    </w:p>
    <w:p w14:paraId="30004F07" w14:textId="4E7576D9" w:rsidR="00D54FE2" w:rsidRPr="00D54FE2" w:rsidRDefault="00D54FE2" w:rsidP="00D54FE2">
      <w:pPr>
        <w:rPr>
          <w:color w:val="2E74B5" w:themeColor="accent1" w:themeShade="BF"/>
        </w:rPr>
      </w:pPr>
      <w:r w:rsidRPr="00D54FE2">
        <w:br w:type="page"/>
      </w:r>
    </w:p>
    <w:p w14:paraId="5AE8F033" w14:textId="5DF6A47B" w:rsidR="00BF3764" w:rsidRDefault="000A0820" w:rsidP="00D548B7">
      <w:pPr>
        <w:pStyle w:val="Heading1"/>
      </w:pPr>
      <w:r w:rsidRPr="000A0820">
        <w:lastRenderedPageBreak/>
        <w:t xml:space="preserve"> </w:t>
      </w:r>
      <w:bookmarkStart w:id="4" w:name="_Toc451409684"/>
      <w:bookmarkStart w:id="5" w:name="_Toc451948684"/>
      <w:r w:rsidR="00E534AF">
        <w:t>Context for the Tool</w:t>
      </w:r>
      <w:bookmarkEnd w:id="4"/>
      <w:bookmarkEnd w:id="5"/>
    </w:p>
    <w:p w14:paraId="5A10E3DD" w14:textId="77777777" w:rsidR="006966E7" w:rsidRPr="006966E7" w:rsidRDefault="006966E7" w:rsidP="006966E7"/>
    <w:p w14:paraId="419E40EE" w14:textId="33932938" w:rsidR="00F23FB7" w:rsidRDefault="00F23FB7" w:rsidP="00F23FB7">
      <w:pPr>
        <w:pStyle w:val="Heading2"/>
      </w:pPr>
      <w:bookmarkStart w:id="6" w:name="_Toc451409685"/>
      <w:bookmarkStart w:id="7" w:name="_Toc451948685"/>
      <w:r>
        <w:t>A changing risk landscape</w:t>
      </w:r>
      <w:bookmarkEnd w:id="6"/>
      <w:bookmarkEnd w:id="7"/>
    </w:p>
    <w:p w14:paraId="2FA12163" w14:textId="77777777" w:rsidR="006966E7" w:rsidRPr="006966E7" w:rsidRDefault="006966E7" w:rsidP="006966E7"/>
    <w:p w14:paraId="5BEF94E8" w14:textId="064C9E1A" w:rsidR="002C09DB" w:rsidRDefault="00A029D7" w:rsidP="0075609F">
      <w:pPr>
        <w:jc w:val="both"/>
      </w:pPr>
      <w:r>
        <w:rPr>
          <w:b/>
        </w:rPr>
        <w:t xml:space="preserve">A changing climate and rapidly growing exposure to disaster risk present a significant challenge to achievement of the Sustainable Development goals and national development </w:t>
      </w:r>
      <w:r w:rsidR="006D6C99">
        <w:rPr>
          <w:b/>
        </w:rPr>
        <w:t>objectives</w:t>
      </w:r>
      <w:r>
        <w:rPr>
          <w:b/>
        </w:rPr>
        <w:t>.</w:t>
      </w:r>
      <w:r w:rsidR="00F23FB7">
        <w:rPr>
          <w:b/>
        </w:rPr>
        <w:t xml:space="preserve"> </w:t>
      </w:r>
      <w:r w:rsidR="00085CF1" w:rsidRPr="00F23FB7">
        <w:t xml:space="preserve">Over the past decade, more than 700,000 people lost their lives, over 1.4 million </w:t>
      </w:r>
      <w:r w:rsidR="002C09DB">
        <w:t>were</w:t>
      </w:r>
      <w:r w:rsidR="00085CF1" w:rsidRPr="00F23FB7">
        <w:t xml:space="preserve"> injured and approximately 23 million </w:t>
      </w:r>
      <w:r w:rsidR="002C09DB">
        <w:t>were</w:t>
      </w:r>
      <w:r w:rsidR="00085CF1" w:rsidRPr="00F23FB7">
        <w:t xml:space="preserve"> made homeless as a result of disasters</w:t>
      </w:r>
      <w:r w:rsidR="00085CF1">
        <w:rPr>
          <w:b/>
        </w:rPr>
        <w:t xml:space="preserve"> </w:t>
      </w:r>
      <w:r w:rsidR="00085CF1">
        <w:t>(</w:t>
      </w:r>
      <w:r w:rsidR="00D50C62">
        <w:t xml:space="preserve">UNISDR, </w:t>
      </w:r>
      <w:r w:rsidR="00C74642">
        <w:t>2015</w:t>
      </w:r>
      <w:r w:rsidR="00085CF1">
        <w:t xml:space="preserve">). </w:t>
      </w:r>
      <w:r w:rsidR="00F23FB7">
        <w:t>Total economic loss over this period was more than USD</w:t>
      </w:r>
      <w:r w:rsidR="00D96A87">
        <w:t xml:space="preserve"> </w:t>
      </w:r>
      <w:r w:rsidR="00F23FB7">
        <w:t xml:space="preserve">1.3 trillion. </w:t>
      </w:r>
      <w:r w:rsidRPr="00A029D7">
        <w:t xml:space="preserve">Changing climate is projected to increase the incidence of climate related disasters, </w:t>
      </w:r>
      <w:r w:rsidR="00D96A87">
        <w:t xml:space="preserve">which </w:t>
      </w:r>
      <w:r w:rsidRPr="00A029D7">
        <w:t>already account</w:t>
      </w:r>
      <w:r w:rsidR="006D6C99">
        <w:t>s</w:t>
      </w:r>
      <w:r w:rsidRPr="006D23AE">
        <w:t xml:space="preserve"> for the majority of annual </w:t>
      </w:r>
      <w:r w:rsidR="006D6C99">
        <w:t xml:space="preserve">disaster </w:t>
      </w:r>
      <w:r w:rsidRPr="006D23AE">
        <w:t>losses (</w:t>
      </w:r>
      <w:r>
        <w:t xml:space="preserve">IPCC, 2012) and will </w:t>
      </w:r>
      <w:r w:rsidR="006D6C99">
        <w:t xml:space="preserve">continue to </w:t>
      </w:r>
      <w:r>
        <w:t xml:space="preserve">increase vulnerability to </w:t>
      </w:r>
      <w:r w:rsidR="006D6C99">
        <w:t xml:space="preserve">other </w:t>
      </w:r>
      <w:r>
        <w:t xml:space="preserve">disaster </w:t>
      </w:r>
      <w:r w:rsidR="006D6C99">
        <w:t xml:space="preserve">hazards such as earthquakes, tsunamis </w:t>
      </w:r>
      <w:r w:rsidR="00D96A87">
        <w:t>and</w:t>
      </w:r>
      <w:r w:rsidR="006D6C99">
        <w:t xml:space="preserve"> landsides</w:t>
      </w:r>
      <w:r>
        <w:t xml:space="preserve">. </w:t>
      </w:r>
      <w:r w:rsidRPr="002C09DB">
        <w:rPr>
          <w:rFonts w:ascii="Calibri" w:hAnsi="Calibri"/>
          <w:lang w:val="en"/>
        </w:rPr>
        <w:t xml:space="preserve"> </w:t>
      </w:r>
      <w:r>
        <w:rPr>
          <w:rFonts w:ascii="Calibri" w:hAnsi="Calibri"/>
          <w:lang w:val="en"/>
        </w:rPr>
        <w:t xml:space="preserve">Amongst the hardest hit are the world’s poorest and vulnerability </w:t>
      </w:r>
      <w:r>
        <w:t xml:space="preserve">is </w:t>
      </w:r>
      <w:r w:rsidR="006D23AE">
        <w:t xml:space="preserve">further </w:t>
      </w:r>
      <w:r w:rsidR="002C09DB">
        <w:t xml:space="preserve">increasing as a result of socio-economic and political factors </w:t>
      </w:r>
      <w:r w:rsidR="00D96A87">
        <w:t xml:space="preserve">including urbanisation </w:t>
      </w:r>
      <w:r w:rsidR="002C09DB">
        <w:t>and competition for scarce resources (UNDP, 2010)</w:t>
      </w:r>
      <w:r w:rsidR="00210E24">
        <w:t>.</w:t>
      </w:r>
    </w:p>
    <w:p w14:paraId="3AE88136" w14:textId="01B5B1A2" w:rsidR="00C04C4F" w:rsidRPr="006B14BA" w:rsidRDefault="006B14BA" w:rsidP="00C04C4F">
      <w:pPr>
        <w:jc w:val="both"/>
        <w:rPr>
          <w:rFonts w:ascii="Calibri" w:hAnsi="Calibri"/>
          <w:lang w:val="en"/>
        </w:rPr>
      </w:pPr>
      <w:r>
        <w:rPr>
          <w:noProof/>
          <w:lang w:bidi="ar-SA"/>
        </w:rPr>
        <mc:AlternateContent>
          <mc:Choice Requires="wpg">
            <w:drawing>
              <wp:anchor distT="45720" distB="45720" distL="182880" distR="182880" simplePos="0" relativeHeight="251736064" behindDoc="1" locked="0" layoutInCell="1" allowOverlap="1" wp14:anchorId="51479482" wp14:editId="68610D57">
                <wp:simplePos x="0" y="0"/>
                <wp:positionH relativeFrom="margin">
                  <wp:posOffset>4028440</wp:posOffset>
                </wp:positionH>
                <wp:positionV relativeFrom="margin">
                  <wp:posOffset>3408952</wp:posOffset>
                </wp:positionV>
                <wp:extent cx="2308860" cy="1304925"/>
                <wp:effectExtent l="0" t="0" r="15240" b="28575"/>
                <wp:wrapTight wrapText="bothSides">
                  <wp:wrapPolygon edited="0">
                    <wp:start x="0" y="0"/>
                    <wp:lineTo x="0" y="21758"/>
                    <wp:lineTo x="21564" y="21758"/>
                    <wp:lineTo x="21564"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2308860" cy="1304925"/>
                          <a:chOff x="0" y="0"/>
                          <a:chExt cx="3567448" cy="1099916"/>
                        </a:xfrm>
                      </wpg:grpSpPr>
                      <wps:wsp>
                        <wps:cNvPr id="27" name="Rectangle 27"/>
                        <wps:cNvSpPr/>
                        <wps:spPr>
                          <a:xfrm>
                            <a:off x="0" y="0"/>
                            <a:ext cx="3567448" cy="270605"/>
                          </a:xfrm>
                          <a:prstGeom prst="rect">
                            <a:avLst/>
                          </a:prstGeom>
                          <a:solidFill>
                            <a:schemeClr val="accent2"/>
                          </a:solidFill>
                          <a:ln>
                            <a:solidFill>
                              <a:schemeClr val="accent2"/>
                            </a:solidFill>
                          </a:ln>
                        </wps:spPr>
                        <wps:style>
                          <a:lnRef idx="0">
                            <a:scrgbClr r="0" g="0" b="0"/>
                          </a:lnRef>
                          <a:fillRef idx="0">
                            <a:scrgbClr r="0" g="0" b="0"/>
                          </a:fillRef>
                          <a:effectRef idx="0">
                            <a:scrgbClr r="0" g="0" b="0"/>
                          </a:effectRef>
                          <a:fontRef idx="minor">
                            <a:schemeClr val="lt1"/>
                          </a:fontRef>
                        </wps:style>
                        <wps:txbx>
                          <w:txbxContent>
                            <w:p w14:paraId="1F0F9863" w14:textId="0F27D782" w:rsidR="00C761F3" w:rsidRPr="006D4222" w:rsidRDefault="00C761F3" w:rsidP="006B14BA">
                              <w:pPr>
                                <w:jc w:val="center"/>
                                <w:rPr>
                                  <w:rFonts w:asciiTheme="majorHAnsi" w:eastAsiaTheme="majorEastAsia" w:hAnsiTheme="majorHAnsi" w:cstheme="majorBidi"/>
                                  <w:b/>
                                  <w:color w:val="FFFFFF" w:themeColor="background1"/>
                                  <w:sz w:val="20"/>
                                  <w:szCs w:val="20"/>
                                </w:rPr>
                              </w:pPr>
                              <w:r>
                                <w:rPr>
                                  <w:rFonts w:asciiTheme="majorHAnsi" w:eastAsiaTheme="majorEastAsia" w:hAnsiTheme="majorHAnsi" w:cstheme="majorBidi"/>
                                  <w:b/>
                                  <w:color w:val="FFFFFF" w:themeColor="background1"/>
                                  <w:sz w:val="20"/>
                                  <w:szCs w:val="20"/>
                                </w:rPr>
                                <w:t>Development needs to be risk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252691"/>
                            <a:ext cx="3567448" cy="847225"/>
                          </a:xfrm>
                          <a:prstGeom prst="rect">
                            <a:avLst/>
                          </a:prstGeom>
                          <a:no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14:paraId="5BB0DDC7" w14:textId="7F7AC073" w:rsidR="00C761F3" w:rsidRPr="0062180B" w:rsidRDefault="00C761F3" w:rsidP="006B14BA">
                              <w:pPr>
                                <w:spacing w:after="0"/>
                                <w:rPr>
                                  <w:i/>
                                  <w:sz w:val="18"/>
                                  <w:szCs w:val="18"/>
                                </w:rPr>
                              </w:pPr>
                              <w:r w:rsidRPr="0062180B">
                                <w:rPr>
                                  <w:sz w:val="18"/>
                                  <w:szCs w:val="18"/>
                                </w:rPr>
                                <w:t>“</w:t>
                              </w:r>
                              <w:r>
                                <w:rPr>
                                  <w:i/>
                                  <w:sz w:val="18"/>
                                  <w:szCs w:val="18"/>
                                </w:rPr>
                                <w:t>We must shift our thinking from managing “disaster events” to addressing the “underlying risks” that are inherent in the development process”</w:t>
                              </w:r>
                              <w:r w:rsidRPr="0062180B">
                                <w:rPr>
                                  <w:i/>
                                  <w:sz w:val="18"/>
                                  <w:szCs w:val="18"/>
                                </w:rPr>
                                <w:t xml:space="preserve"> </w:t>
                              </w:r>
                            </w:p>
                            <w:p w14:paraId="2B390698" w14:textId="3BF3F537" w:rsidR="00C761F3" w:rsidRPr="006D4222" w:rsidRDefault="00C761F3" w:rsidP="006B14BA">
                              <w:pPr>
                                <w:jc w:val="right"/>
                                <w:rPr>
                                  <w:caps/>
                                  <w:color w:val="1F3864" w:themeColor="accent5" w:themeShade="80"/>
                                  <w:sz w:val="18"/>
                                  <w:szCs w:val="18"/>
                                  <w:u w:val="single"/>
                                </w:rPr>
                              </w:pPr>
                              <w:r>
                                <w:rPr>
                                  <w:i/>
                                  <w:color w:val="1F3864" w:themeColor="accent5" w:themeShade="80"/>
                                  <w:sz w:val="18"/>
                                  <w:szCs w:val="18"/>
                                </w:rPr>
                                <w:t>Jo Scheuer, UNDP, 2016</w:t>
                              </w:r>
                              <w:r w:rsidRPr="006D4222">
                                <w:rPr>
                                  <w:i/>
                                  <w:color w:val="1F3864" w:themeColor="accent5" w:themeShade="80"/>
                                  <w:sz w:val="18"/>
                                  <w:szCs w:val="18"/>
                                  <w:u w:val="single"/>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79482" id="Group 24" o:spid="_x0000_s1030" style="position:absolute;left:0;text-align:left;margin-left:317.2pt;margin-top:268.4pt;width:181.8pt;height:102.75pt;z-index:-251580416;mso-wrap-distance-left:14.4pt;mso-wrap-distance-top:3.6pt;mso-wrap-distance-right:14.4pt;mso-wrap-distance-bottom:3.6pt;mso-position-horizontal-relative:margin;mso-position-vertical-relative:margin;mso-width-relative:margin;mso-height-relative:margin" coordsize="35674,1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">
                <v:rect id="Rectangle 27" o:spid="_x0000_s1031"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8pcMA&#10;AADbAAAADwAAAGRycy9kb3ducmV2LnhtbESPQWvCQBSE7wX/w/KE3urGtESJriItQns0iujtmX1m&#10;g9m3IbvV9N93BcHjMDPfMPNlbxtxpc7XjhWMRwkI4tLpmisFu+36bQrCB2SNjWNS8EcelovByxxz&#10;7W68oWsRKhEh7HNUYEJocyl9aciiH7mWOHpn11kMUXaV1B3eItw2Mk2STFqsOS4YbOnTUHkpfq2C&#10;9Tj7yQ74UZgvvX8/bY+nZJNOlHod9qsZiEB9eIYf7W+tIJ3A/U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Z8pcMAAADbAAAADwAAAAAAAAAAAAAAAACYAgAAZHJzL2Rv&#10;d25yZXYueG1sUEsFBgAAAAAEAAQA9QAAAIgDAAAAAA==&#10;" fillcolor="#ed7d31 [3205]" strokecolor="#ed7d31 [3205]">
                  <v:textbox>
                    <w:txbxContent>
                      <w:p w14:paraId="1F0F9863" w14:textId="0F27D782" w:rsidR="00C761F3" w:rsidRPr="006D4222" w:rsidRDefault="00C761F3" w:rsidP="006B14BA">
                        <w:pPr>
                          <w:jc w:val="center"/>
                          <w:rPr>
                            <w:rFonts w:asciiTheme="majorHAnsi" w:eastAsiaTheme="majorEastAsia" w:hAnsiTheme="majorHAnsi" w:cstheme="majorBidi"/>
                            <w:b/>
                            <w:color w:val="FFFFFF" w:themeColor="background1"/>
                            <w:sz w:val="20"/>
                            <w:szCs w:val="20"/>
                          </w:rPr>
                        </w:pPr>
                        <w:r>
                          <w:rPr>
                            <w:rFonts w:asciiTheme="majorHAnsi" w:eastAsiaTheme="majorEastAsia" w:hAnsiTheme="majorHAnsi" w:cstheme="majorBidi"/>
                            <w:b/>
                            <w:color w:val="FFFFFF" w:themeColor="background1"/>
                            <w:sz w:val="20"/>
                            <w:szCs w:val="20"/>
                          </w:rPr>
                          <w:t>Development needs to be risk informed</w:t>
                        </w:r>
                      </w:p>
                    </w:txbxContent>
                  </v:textbox>
                </v:rect>
                <v:shape id="Text Box 28" o:spid="_x0000_s1032" type="#_x0000_t202" style="position:absolute;top:2526;width:35674;height:8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F78IA&#10;AADbAAAADwAAAGRycy9kb3ducmV2LnhtbERPPWvDMBDdC/kP4gJZSiLXQymuZRMCoSXQIXGg7XZY&#10;F8vEOhlLje3++mgodHy877ycbCduNPjWsYKnTQKCuHa65UbBudqvX0D4gKyxc0wKZvJQFouHHDPt&#10;Rj7S7RQaEUPYZ6jAhNBnUvrakEW/cT1x5C5usBgiHBqpBxxjuO1kmiTP0mLLscFgTztD9fX0YxW8&#10;4XX+mJqv+jBePJvP70r/PlZKrZbT9hVEoCn8i//c71pBGsfGL/E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0XvwgAAANsAAAAPAAAAAAAAAAAAAAAAAJgCAABkcnMvZG93&#10;bnJldi54bWxQSwUGAAAAAAQABAD1AAAAhwMAAAAA&#10;" filled="f" strokecolor="#ed7d31 [3205]" strokeweight=".5pt">
                  <v:textbox inset=",7.2pt,,0">
                    <w:txbxContent>
                      <w:p w14:paraId="5BB0DDC7" w14:textId="7F7AC073" w:rsidR="00C761F3" w:rsidRPr="0062180B" w:rsidRDefault="00C761F3" w:rsidP="006B14BA">
                        <w:pPr>
                          <w:spacing w:after="0"/>
                          <w:rPr>
                            <w:i/>
                            <w:sz w:val="18"/>
                            <w:szCs w:val="18"/>
                          </w:rPr>
                        </w:pPr>
                        <w:r w:rsidRPr="0062180B">
                          <w:rPr>
                            <w:sz w:val="18"/>
                            <w:szCs w:val="18"/>
                          </w:rPr>
                          <w:t>“</w:t>
                        </w:r>
                        <w:r>
                          <w:rPr>
                            <w:i/>
                            <w:sz w:val="18"/>
                            <w:szCs w:val="18"/>
                          </w:rPr>
                          <w:t>We must shift our thinking from managing “disaster events” to addressing the “underlying risks” that are inherent in the development process”</w:t>
                        </w:r>
                        <w:r w:rsidRPr="0062180B">
                          <w:rPr>
                            <w:i/>
                            <w:sz w:val="18"/>
                            <w:szCs w:val="18"/>
                          </w:rPr>
                          <w:t xml:space="preserve"> </w:t>
                        </w:r>
                      </w:p>
                      <w:p w14:paraId="2B390698" w14:textId="3BF3F537" w:rsidR="00C761F3" w:rsidRPr="006D4222" w:rsidRDefault="00C761F3" w:rsidP="006B14BA">
                        <w:pPr>
                          <w:jc w:val="right"/>
                          <w:rPr>
                            <w:caps/>
                            <w:color w:val="1F3864" w:themeColor="accent5" w:themeShade="80"/>
                            <w:sz w:val="18"/>
                            <w:szCs w:val="18"/>
                            <w:u w:val="single"/>
                          </w:rPr>
                        </w:pPr>
                        <w:r>
                          <w:rPr>
                            <w:i/>
                            <w:color w:val="1F3864" w:themeColor="accent5" w:themeShade="80"/>
                            <w:sz w:val="18"/>
                            <w:szCs w:val="18"/>
                          </w:rPr>
                          <w:t>Jo Scheuer, UNDP, 2016</w:t>
                        </w:r>
                        <w:r w:rsidRPr="006D4222">
                          <w:rPr>
                            <w:i/>
                            <w:color w:val="1F3864" w:themeColor="accent5" w:themeShade="80"/>
                            <w:sz w:val="18"/>
                            <w:szCs w:val="18"/>
                            <w:u w:val="single"/>
                          </w:rPr>
                          <w:t xml:space="preserve">  </w:t>
                        </w:r>
                      </w:p>
                    </w:txbxContent>
                  </v:textbox>
                </v:shape>
                <w10:wrap type="tight" anchorx="margin" anchory="margin"/>
              </v:group>
            </w:pict>
          </mc:Fallback>
        </mc:AlternateContent>
      </w:r>
      <w:r w:rsidR="00F23FB7">
        <w:rPr>
          <w:b/>
        </w:rPr>
        <w:t>Disaster and climate</w:t>
      </w:r>
      <w:r w:rsidR="000101F6">
        <w:rPr>
          <w:b/>
        </w:rPr>
        <w:t xml:space="preserve"> change</w:t>
      </w:r>
      <w:r w:rsidR="00F23FB7">
        <w:rPr>
          <w:b/>
        </w:rPr>
        <w:t xml:space="preserve"> r</w:t>
      </w:r>
      <w:r w:rsidR="00085CF1">
        <w:rPr>
          <w:b/>
        </w:rPr>
        <w:t xml:space="preserve">isks </w:t>
      </w:r>
      <w:r w:rsidR="00C04C4F">
        <w:rPr>
          <w:b/>
        </w:rPr>
        <w:t xml:space="preserve">are </w:t>
      </w:r>
      <w:r w:rsidR="009026EE">
        <w:rPr>
          <w:b/>
        </w:rPr>
        <w:t xml:space="preserve">largely </w:t>
      </w:r>
      <w:r w:rsidR="00CF7171">
        <w:rPr>
          <w:b/>
        </w:rPr>
        <w:t>rooted in</w:t>
      </w:r>
      <w:r w:rsidR="00C04C4F">
        <w:rPr>
          <w:b/>
        </w:rPr>
        <w:t xml:space="preserve"> inappropriate </w:t>
      </w:r>
      <w:r w:rsidR="009026EE">
        <w:rPr>
          <w:b/>
        </w:rPr>
        <w:t xml:space="preserve">or “flawed” </w:t>
      </w:r>
      <w:r w:rsidR="00C04C4F">
        <w:rPr>
          <w:b/>
        </w:rPr>
        <w:t>development</w:t>
      </w:r>
      <w:r w:rsidR="009026EE">
        <w:rPr>
          <w:b/>
        </w:rPr>
        <w:t xml:space="preserve"> </w:t>
      </w:r>
      <w:r w:rsidR="009026EE">
        <w:t>(Aysan and Lavell, 2014)</w:t>
      </w:r>
      <w:r w:rsidR="00C04C4F">
        <w:rPr>
          <w:b/>
        </w:rPr>
        <w:t xml:space="preserve">. </w:t>
      </w:r>
      <w:r w:rsidR="006D23AE" w:rsidRPr="00F80884">
        <w:rPr>
          <w:rFonts w:ascii="Calibri" w:hAnsi="Calibri"/>
          <w:lang w:val="en"/>
        </w:rPr>
        <w:t xml:space="preserve">Many disasters </w:t>
      </w:r>
      <w:r w:rsidR="006D23AE">
        <w:rPr>
          <w:rFonts w:ascii="Calibri" w:hAnsi="Calibri"/>
          <w:lang w:val="en"/>
        </w:rPr>
        <w:t>are</w:t>
      </w:r>
      <w:r w:rsidR="006D23AE" w:rsidRPr="00F80884">
        <w:rPr>
          <w:rFonts w:ascii="Calibri" w:hAnsi="Calibri"/>
          <w:lang w:val="en"/>
        </w:rPr>
        <w:t xml:space="preserve"> the result of recurrent hazards </w:t>
      </w:r>
      <w:r w:rsidR="006D23AE">
        <w:rPr>
          <w:rFonts w:ascii="Calibri" w:hAnsi="Calibri"/>
          <w:lang w:val="en"/>
        </w:rPr>
        <w:t>such as</w:t>
      </w:r>
      <w:r w:rsidR="006D23AE" w:rsidRPr="00F80884">
        <w:rPr>
          <w:rFonts w:ascii="Calibri" w:hAnsi="Calibri"/>
          <w:lang w:val="en"/>
        </w:rPr>
        <w:t xml:space="preserve"> drought</w:t>
      </w:r>
      <w:r w:rsidR="00D96A87">
        <w:rPr>
          <w:rFonts w:ascii="Calibri" w:hAnsi="Calibri"/>
          <w:lang w:val="en"/>
        </w:rPr>
        <w:t>, rather than one-off events.  However, t</w:t>
      </w:r>
      <w:r w:rsidR="006D23AE" w:rsidRPr="00F80884">
        <w:rPr>
          <w:rFonts w:ascii="Calibri" w:hAnsi="Calibri"/>
          <w:lang w:val="en"/>
        </w:rPr>
        <w:t xml:space="preserve">hese hazards become disasters as a result of development decision making, </w:t>
      </w:r>
      <w:r w:rsidR="006D23AE">
        <w:rPr>
          <w:rFonts w:ascii="Calibri" w:hAnsi="Calibri"/>
          <w:lang w:val="en"/>
        </w:rPr>
        <w:t>which</w:t>
      </w:r>
      <w:r w:rsidR="006D23AE" w:rsidRPr="00F80884">
        <w:rPr>
          <w:rFonts w:ascii="Calibri" w:hAnsi="Calibri"/>
          <w:lang w:val="en"/>
        </w:rPr>
        <w:t xml:space="preserve"> can increase or decrease vulnerability to disasters.  </w:t>
      </w:r>
      <w:r>
        <w:rPr>
          <w:rFonts w:ascii="Calibri" w:hAnsi="Calibri"/>
          <w:lang w:val="en"/>
        </w:rPr>
        <w:t xml:space="preserve"> </w:t>
      </w:r>
      <w:r w:rsidR="00C04C4F" w:rsidRPr="00C04C4F">
        <w:t xml:space="preserve">Risks </w:t>
      </w:r>
      <w:r w:rsidR="00085CF1" w:rsidRPr="00C04C4F">
        <w:t xml:space="preserve">from climate change and other hazards can </w:t>
      </w:r>
      <w:r w:rsidR="00210E24">
        <w:t xml:space="preserve">therefore </w:t>
      </w:r>
      <w:r w:rsidR="00085CF1" w:rsidRPr="00C04C4F">
        <w:t xml:space="preserve">threaten development objectives and achievements; </w:t>
      </w:r>
      <w:r w:rsidR="00D96A87">
        <w:t>but</w:t>
      </w:r>
      <w:r w:rsidR="00085CF1" w:rsidRPr="00C04C4F">
        <w:t xml:space="preserve"> in turn, vulnerability to these risks is affected by development choices</w:t>
      </w:r>
      <w:r w:rsidR="00085CF1">
        <w:rPr>
          <w:b/>
        </w:rPr>
        <w:t xml:space="preserve"> </w:t>
      </w:r>
      <w:r w:rsidR="00085CF1" w:rsidRPr="00E93F38">
        <w:t>(OECD, 2009).</w:t>
      </w:r>
      <w:r w:rsidR="00085CF1">
        <w:rPr>
          <w:b/>
        </w:rPr>
        <w:t xml:space="preserve"> </w:t>
      </w:r>
      <w:r>
        <w:t>It is therefore increasingly important to move towards “prospective” disaster risk management as an essential component of sustainable development that avoids the creation of new risks (Aysan and Lavell, 2014)</w:t>
      </w:r>
      <w:r w:rsidR="00D96A87">
        <w:t>,</w:t>
      </w:r>
      <w:r>
        <w:t xml:space="preserve"> tackles underlying vulnerabilities</w:t>
      </w:r>
      <w:r w:rsidR="00D96A87">
        <w:t xml:space="preserve"> and support adaptation to climate change</w:t>
      </w:r>
      <w:r>
        <w:t>.</w:t>
      </w:r>
    </w:p>
    <w:p w14:paraId="1F4027C3" w14:textId="29868407" w:rsidR="00192914" w:rsidRPr="00192914" w:rsidRDefault="0062180B" w:rsidP="0062180B">
      <w:pPr>
        <w:pStyle w:val="ListParagraph"/>
        <w:jc w:val="both"/>
        <w:rPr>
          <w:rFonts w:ascii="Calibri" w:hAnsi="Calibri" w:cs="Arial"/>
          <w:i/>
          <w:lang w:val="en"/>
        </w:rPr>
      </w:pPr>
      <w:r w:rsidRPr="00930831">
        <w:rPr>
          <w:noProof/>
          <w:color w:val="ED7D31" w:themeColor="accent2"/>
          <w:lang w:val="en-US"/>
        </w:rPr>
        <w:drawing>
          <wp:anchor distT="0" distB="0" distL="114300" distR="114300" simplePos="0" relativeHeight="251699200" behindDoc="1" locked="0" layoutInCell="1" allowOverlap="1" wp14:anchorId="17583086" wp14:editId="7A97EBAE">
            <wp:simplePos x="0" y="0"/>
            <wp:positionH relativeFrom="column">
              <wp:posOffset>33020</wp:posOffset>
            </wp:positionH>
            <wp:positionV relativeFrom="paragraph">
              <wp:posOffset>-1905</wp:posOffset>
            </wp:positionV>
            <wp:extent cx="333375" cy="333375"/>
            <wp:effectExtent l="0" t="0" r="9525" b="9525"/>
            <wp:wrapTight wrapText="bothSides">
              <wp:wrapPolygon edited="0">
                <wp:start x="0" y="0"/>
                <wp:lineTo x="0" y="20983"/>
                <wp:lineTo x="20983" y="20983"/>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r w:rsidRPr="00930831">
        <w:rPr>
          <w:rFonts w:ascii="Calibri" w:hAnsi="Calibri" w:cs="Arial"/>
          <w:i/>
          <w:color w:val="ED7D31" w:themeColor="accent2"/>
          <w:lang w:val="en"/>
        </w:rPr>
        <w:t>D</w:t>
      </w:r>
      <w:r w:rsidR="00AB6A5D" w:rsidRPr="00930831">
        <w:rPr>
          <w:rFonts w:ascii="Calibri" w:hAnsi="Calibri" w:cs="Arial"/>
          <w:i/>
          <w:color w:val="ED7D31" w:themeColor="accent2"/>
          <w:lang w:val="en"/>
        </w:rPr>
        <w:t>isaster</w:t>
      </w:r>
      <w:r w:rsidR="00930831" w:rsidRPr="00930831">
        <w:rPr>
          <w:rFonts w:ascii="Calibri" w:hAnsi="Calibri" w:cs="Arial"/>
          <w:i/>
          <w:color w:val="ED7D31" w:themeColor="accent2"/>
          <w:lang w:val="en"/>
        </w:rPr>
        <w:t xml:space="preserve"> and climate</w:t>
      </w:r>
      <w:r w:rsidR="00AB6A5D" w:rsidRPr="00930831">
        <w:rPr>
          <w:rFonts w:ascii="Calibri" w:hAnsi="Calibri" w:cs="Arial"/>
          <w:i/>
          <w:color w:val="ED7D31" w:themeColor="accent2"/>
          <w:lang w:val="en"/>
        </w:rPr>
        <w:t xml:space="preserve"> risk management </w:t>
      </w:r>
      <w:r w:rsidR="00210E24">
        <w:rPr>
          <w:rFonts w:ascii="Calibri" w:hAnsi="Calibri" w:cs="Arial"/>
          <w:i/>
          <w:color w:val="ED7D31" w:themeColor="accent2"/>
          <w:lang w:val="en"/>
        </w:rPr>
        <w:t>is essential for</w:t>
      </w:r>
      <w:r w:rsidR="00AB6A5D" w:rsidRPr="00930831">
        <w:rPr>
          <w:rFonts w:ascii="Calibri" w:hAnsi="Calibri" w:cs="Arial"/>
          <w:i/>
          <w:color w:val="ED7D31" w:themeColor="accent2"/>
          <w:lang w:val="en"/>
        </w:rPr>
        <w:t xml:space="preserve"> </w:t>
      </w:r>
      <w:r w:rsidR="00930831" w:rsidRPr="00930831">
        <w:rPr>
          <w:rFonts w:ascii="Calibri" w:hAnsi="Calibri" w:cs="Arial"/>
          <w:i/>
          <w:color w:val="ED7D31" w:themeColor="accent2"/>
          <w:lang w:val="en"/>
        </w:rPr>
        <w:t>risk informed</w:t>
      </w:r>
      <w:r w:rsidR="00B46AC1">
        <w:rPr>
          <w:rFonts w:ascii="Calibri" w:hAnsi="Calibri" w:cs="Arial"/>
          <w:i/>
          <w:color w:val="ED7D31" w:themeColor="accent2"/>
          <w:lang w:val="en"/>
        </w:rPr>
        <w:t>,</w:t>
      </w:r>
      <w:r w:rsidR="00930831" w:rsidRPr="00930831">
        <w:rPr>
          <w:rFonts w:ascii="Calibri" w:hAnsi="Calibri" w:cs="Arial"/>
          <w:i/>
          <w:color w:val="ED7D31" w:themeColor="accent2"/>
          <w:lang w:val="en"/>
        </w:rPr>
        <w:t xml:space="preserve"> </w:t>
      </w:r>
      <w:r w:rsidR="006B14BA">
        <w:rPr>
          <w:rFonts w:ascii="Calibri" w:hAnsi="Calibri" w:cs="Arial"/>
          <w:i/>
          <w:color w:val="ED7D31" w:themeColor="accent2"/>
          <w:lang w:val="en"/>
        </w:rPr>
        <w:t>sustainable development.</w:t>
      </w:r>
    </w:p>
    <w:p w14:paraId="20BB9E8D" w14:textId="77777777" w:rsidR="006966E7" w:rsidRDefault="006966E7" w:rsidP="00A21B91">
      <w:pPr>
        <w:pStyle w:val="Heading2"/>
      </w:pPr>
    </w:p>
    <w:p w14:paraId="750BE13E" w14:textId="5B22AAE0" w:rsidR="00F23FB7" w:rsidRDefault="00D96A87" w:rsidP="00A21B91">
      <w:pPr>
        <w:pStyle w:val="Heading2"/>
      </w:pPr>
      <w:bookmarkStart w:id="8" w:name="_Toc451948686"/>
      <w:r>
        <w:t xml:space="preserve">An opportunity for </w:t>
      </w:r>
      <w:r w:rsidRPr="00D96A87">
        <w:rPr>
          <w:highlight w:val="yellow"/>
        </w:rPr>
        <w:t>cohesive/integrated</w:t>
      </w:r>
      <w:r>
        <w:t xml:space="preserve"> action on risk</w:t>
      </w:r>
      <w:bookmarkEnd w:id="8"/>
    </w:p>
    <w:p w14:paraId="7A49E231" w14:textId="77777777" w:rsidR="006966E7" w:rsidRPr="006966E7" w:rsidRDefault="006966E7" w:rsidP="006966E7"/>
    <w:p w14:paraId="09683990" w14:textId="2A93B9F9" w:rsidR="00192914" w:rsidRDefault="00192914" w:rsidP="0062180B">
      <w:pPr>
        <w:jc w:val="both"/>
      </w:pPr>
      <w:r>
        <w:rPr>
          <w:b/>
        </w:rPr>
        <w:t>T</w:t>
      </w:r>
      <w:r w:rsidRPr="00F80675">
        <w:rPr>
          <w:b/>
        </w:rPr>
        <w:t xml:space="preserve">hree separate </w:t>
      </w:r>
      <w:r>
        <w:rPr>
          <w:b/>
        </w:rPr>
        <w:t>frameworks</w:t>
      </w:r>
      <w:r w:rsidRPr="00F80675">
        <w:rPr>
          <w:b/>
        </w:rPr>
        <w:t xml:space="preserve"> guide discussion</w:t>
      </w:r>
      <w:r>
        <w:rPr>
          <w:b/>
        </w:rPr>
        <w:t>s</w:t>
      </w:r>
      <w:r w:rsidRPr="00F80675">
        <w:rPr>
          <w:b/>
        </w:rPr>
        <w:t xml:space="preserve"> at the global level for climate change, disaster risk management</w:t>
      </w:r>
      <w:r w:rsidR="0062180B">
        <w:rPr>
          <w:b/>
        </w:rPr>
        <w:t xml:space="preserve"> and development</w:t>
      </w:r>
      <w:r w:rsidRPr="00F80675">
        <w:rPr>
          <w:b/>
        </w:rPr>
        <w:t xml:space="preserve">.  </w:t>
      </w:r>
      <w:r w:rsidRPr="00F80675">
        <w:t>Firstly, the new international treaty (the Paris Agreement) adopted under the UN Framework Convention on Climate Change (UNFCCC)</w:t>
      </w:r>
      <w:r w:rsidR="0062180B">
        <w:t xml:space="preserve"> outlines commitments to mitigate and adapt to climate change</w:t>
      </w:r>
      <w:r w:rsidR="009C5584">
        <w:t xml:space="preserve"> and a roadmap for long</w:t>
      </w:r>
      <w:r w:rsidR="00B46AC1">
        <w:t>-</w:t>
      </w:r>
      <w:r w:rsidR="009C5584">
        <w:t>term action</w:t>
      </w:r>
      <w:r w:rsidR="0062180B">
        <w:t xml:space="preserve">.  Secondly, </w:t>
      </w:r>
      <w:r w:rsidRPr="00F80675">
        <w:t>the Sendai Framework for Disaster Risk Reduction</w:t>
      </w:r>
      <w:r>
        <w:t>,</w:t>
      </w:r>
      <w:r w:rsidRPr="00F80675">
        <w:t xml:space="preserve"> a voluntary agreement which includes seven targets and four priorities for action</w:t>
      </w:r>
      <w:r>
        <w:t xml:space="preserve"> (2015-30)</w:t>
      </w:r>
      <w:r w:rsidR="009C5584">
        <w:t xml:space="preserve"> </w:t>
      </w:r>
      <w:r w:rsidR="00D96A87">
        <w:t xml:space="preserve">and </w:t>
      </w:r>
      <w:r w:rsidR="009C5584">
        <w:t xml:space="preserve">calls for a more holistic and systematic </w:t>
      </w:r>
      <w:r w:rsidR="00863A99">
        <w:t>approach to disaster risk reduction (DRR)</w:t>
      </w:r>
      <w:r w:rsidR="00B46AC1">
        <w:t>, including calibration to climate change</w:t>
      </w:r>
      <w:r w:rsidRPr="00F80675">
        <w:t>.</w:t>
      </w:r>
      <w:r w:rsidR="0062180B" w:rsidRPr="0062180B">
        <w:t xml:space="preserve"> </w:t>
      </w:r>
      <w:r w:rsidR="0062180B">
        <w:t xml:space="preserve"> Thirdly, </w:t>
      </w:r>
      <w:r w:rsidR="0062180B" w:rsidRPr="00F80675">
        <w:t>the 17 voluntary Sustainable Development Goals (SDGs) adopted at the</w:t>
      </w:r>
      <w:r w:rsidR="00863A99">
        <w:t xml:space="preserve"> UN summit in the United States</w:t>
      </w:r>
      <w:r w:rsidR="00EC694C">
        <w:t>,</w:t>
      </w:r>
      <w:r w:rsidR="00863A99">
        <w:t xml:space="preserve"> </w:t>
      </w:r>
      <w:r w:rsidR="00D96A87">
        <w:t xml:space="preserve">which </w:t>
      </w:r>
      <w:r w:rsidR="00863A99">
        <w:t>support</w:t>
      </w:r>
      <w:r w:rsidR="00EC694C">
        <w:t>s</w:t>
      </w:r>
      <w:r w:rsidR="00863A99">
        <w:t xml:space="preserve"> action on sustainable development</w:t>
      </w:r>
      <w:r w:rsidR="00334BAD">
        <w:t xml:space="preserve"> up to 2030</w:t>
      </w:r>
      <w:r w:rsidR="00EC694C">
        <w:t xml:space="preserve"> and is supported by the Addis Ababa Accord – the financing plan for the SDGs.</w:t>
      </w:r>
    </w:p>
    <w:p w14:paraId="7C09EA64" w14:textId="4094C29D" w:rsidR="00A71A9C" w:rsidRDefault="00EC694C" w:rsidP="00863A99">
      <w:pPr>
        <w:jc w:val="both"/>
      </w:pPr>
      <w:r>
        <w:rPr>
          <w:b/>
        </w:rPr>
        <w:t>Although t</w:t>
      </w:r>
      <w:r w:rsidR="00192914" w:rsidRPr="005D11AA">
        <w:rPr>
          <w:b/>
        </w:rPr>
        <w:t>he</w:t>
      </w:r>
      <w:r w:rsidR="00CA0379">
        <w:rPr>
          <w:b/>
        </w:rPr>
        <w:t xml:space="preserve"> </w:t>
      </w:r>
      <w:r w:rsidR="00192914" w:rsidRPr="005D11AA">
        <w:rPr>
          <w:b/>
        </w:rPr>
        <w:t xml:space="preserve">predecessors </w:t>
      </w:r>
      <w:r w:rsidR="00CA0379">
        <w:rPr>
          <w:b/>
        </w:rPr>
        <w:t xml:space="preserve">of these agreements </w:t>
      </w:r>
      <w:r w:rsidR="00192914" w:rsidRPr="005D11AA">
        <w:rPr>
          <w:b/>
        </w:rPr>
        <w:t>promoted action on indivi</w:t>
      </w:r>
      <w:r w:rsidR="00192914">
        <w:rPr>
          <w:b/>
        </w:rPr>
        <w:t>dual issues</w:t>
      </w:r>
      <w:r w:rsidR="00CA0379">
        <w:rPr>
          <w:b/>
        </w:rPr>
        <w:t>,</w:t>
      </w:r>
      <w:r w:rsidR="00192914">
        <w:rPr>
          <w:b/>
        </w:rPr>
        <w:t xml:space="preserve"> </w:t>
      </w:r>
      <w:r w:rsidR="00CA0379">
        <w:rPr>
          <w:b/>
        </w:rPr>
        <w:t xml:space="preserve">and </w:t>
      </w:r>
      <w:r w:rsidR="00192914">
        <w:rPr>
          <w:b/>
        </w:rPr>
        <w:t>at times led</w:t>
      </w:r>
      <w:r w:rsidR="00192914" w:rsidRPr="005D11AA">
        <w:rPr>
          <w:b/>
        </w:rPr>
        <w:t xml:space="preserve"> to disjointed </w:t>
      </w:r>
      <w:r w:rsidR="00863A99">
        <w:rPr>
          <w:b/>
        </w:rPr>
        <w:t>progress</w:t>
      </w:r>
      <w:r>
        <w:rPr>
          <w:b/>
        </w:rPr>
        <w:t>, the new global agendas hold significant promise for a more integrated approach.</w:t>
      </w:r>
      <w:r w:rsidR="00176BDE">
        <w:rPr>
          <w:b/>
        </w:rPr>
        <w:t xml:space="preserve"> </w:t>
      </w:r>
      <w:r>
        <w:rPr>
          <w:b/>
        </w:rPr>
        <w:t xml:space="preserve"> </w:t>
      </w:r>
      <w:r w:rsidR="00176BDE" w:rsidRPr="00176BDE">
        <w:t>Past</w:t>
      </w:r>
      <w:r w:rsidR="00192914" w:rsidRPr="00192914">
        <w:t xml:space="preserve"> separation of dialogue</w:t>
      </w:r>
      <w:r w:rsidR="00863A99">
        <w:t xml:space="preserve"> and policy</w:t>
      </w:r>
      <w:r w:rsidR="00192914" w:rsidRPr="00192914">
        <w:t xml:space="preserve"> frameworks on these issues</w:t>
      </w:r>
      <w:r w:rsidR="00192914">
        <w:t xml:space="preserve"> </w:t>
      </w:r>
      <w:r w:rsidR="00176BDE">
        <w:t xml:space="preserve">at global and regional levels, </w:t>
      </w:r>
      <w:r w:rsidR="00192914">
        <w:t xml:space="preserve">has </w:t>
      </w:r>
      <w:r w:rsidR="00176BDE">
        <w:t>at times resulted in</w:t>
      </w:r>
      <w:r w:rsidR="00192914">
        <w:t xml:space="preserve"> parallel processes</w:t>
      </w:r>
      <w:r w:rsidR="00863A99">
        <w:t xml:space="preserve"> that are mirrored in “silo” approaches evident at national level</w:t>
      </w:r>
      <w:r w:rsidR="00192914">
        <w:t>.</w:t>
      </w:r>
      <w:r w:rsidR="00A4094D">
        <w:t xml:space="preserve">  </w:t>
      </w:r>
      <w:r w:rsidR="00A71A9C">
        <w:t xml:space="preserve">However, </w:t>
      </w:r>
      <w:r w:rsidR="00A4094D">
        <w:t xml:space="preserve">the post 2015 frameworks, which reference interlinkages better than past agendas, </w:t>
      </w:r>
      <w:r w:rsidR="00D96A87">
        <w:t>alongside joint</w:t>
      </w:r>
      <w:r w:rsidR="00A4094D">
        <w:t xml:space="preserve"> dialogue and </w:t>
      </w:r>
      <w:r w:rsidR="00D96A87">
        <w:t xml:space="preserve">new </w:t>
      </w:r>
      <w:r w:rsidR="00A4094D">
        <w:t>strategies at the regional level</w:t>
      </w:r>
      <w:r w:rsidR="00A4094D">
        <w:rPr>
          <w:rStyle w:val="FootnoteReference"/>
        </w:rPr>
        <w:footnoteReference w:id="1"/>
      </w:r>
      <w:r w:rsidR="00A4094D">
        <w:t xml:space="preserve"> provide a </w:t>
      </w:r>
      <w:r w:rsidR="00A4094D" w:rsidRPr="00A4094D">
        <w:rPr>
          <w:u w:val="single"/>
        </w:rPr>
        <w:t>significant opportunity for joint cohesive action</w:t>
      </w:r>
      <w:r w:rsidR="00A4094D">
        <w:t xml:space="preserve"> and support </w:t>
      </w:r>
      <w:r w:rsidR="00D96A87">
        <w:t xml:space="preserve">for </w:t>
      </w:r>
      <w:r w:rsidR="00A4094D">
        <w:t xml:space="preserve">more sustainable </w:t>
      </w:r>
      <w:r w:rsidR="00A4094D">
        <w:rPr>
          <w:i/>
        </w:rPr>
        <w:t>and</w:t>
      </w:r>
      <w:r w:rsidR="00A4094D">
        <w:t xml:space="preserve"> resilient development</w:t>
      </w:r>
      <w:r w:rsidR="00D96A87">
        <w:t xml:space="preserve"> in the face of </w:t>
      </w:r>
      <w:r w:rsidR="00D96A87">
        <w:rPr>
          <w:i/>
        </w:rPr>
        <w:t xml:space="preserve">both </w:t>
      </w:r>
      <w:r w:rsidR="00D96A87">
        <w:t>climate and disaster risks</w:t>
      </w:r>
      <w:r w:rsidR="00A4094D">
        <w:t xml:space="preserve">. </w:t>
      </w:r>
    </w:p>
    <w:p w14:paraId="2CD5C9AC" w14:textId="0DA39CA0" w:rsidR="00192914" w:rsidRDefault="00192914" w:rsidP="00192914">
      <w:pPr>
        <w:jc w:val="both"/>
      </w:pPr>
      <w:r w:rsidRPr="00C04C4F">
        <w:rPr>
          <w:b/>
        </w:rPr>
        <w:t xml:space="preserve">Building resilience to risks and addressing </w:t>
      </w:r>
      <w:r>
        <w:rPr>
          <w:b/>
        </w:rPr>
        <w:t xml:space="preserve">underlying </w:t>
      </w:r>
      <w:r w:rsidRPr="00C04C4F">
        <w:rPr>
          <w:b/>
        </w:rPr>
        <w:t>vulnerability is a unifying goal for climate change</w:t>
      </w:r>
      <w:r w:rsidR="00C761F3">
        <w:rPr>
          <w:b/>
        </w:rPr>
        <w:t xml:space="preserve"> adaptation/mitigation</w:t>
      </w:r>
      <w:r w:rsidRPr="00C04C4F">
        <w:rPr>
          <w:b/>
        </w:rPr>
        <w:t>, disaster risk management and poverty reduction practitioners</w:t>
      </w:r>
      <w:r w:rsidR="00CA702D">
        <w:rPr>
          <w:b/>
        </w:rPr>
        <w:t xml:space="preserve"> at all levels</w:t>
      </w:r>
      <w:r w:rsidRPr="00C04C4F">
        <w:rPr>
          <w:b/>
        </w:rPr>
        <w:t>.</w:t>
      </w:r>
      <w:r>
        <w:t xml:space="preserve"> The adoption of resilience as a central concept of international development policy</w:t>
      </w:r>
      <w:r w:rsidR="00215B44">
        <w:t xml:space="preserve"> has</w:t>
      </w:r>
      <w:r>
        <w:t xml:space="preserve"> emerg</w:t>
      </w:r>
      <w:r w:rsidR="00215B44">
        <w:t>ed</w:t>
      </w:r>
      <w:r>
        <w:t xml:space="preserve"> from concerns over the protection of development gains from shocks and stresses (UNDP, 2015</w:t>
      </w:r>
      <w:r w:rsidR="00CA702D">
        <w:t>)</w:t>
      </w:r>
      <w:r w:rsidR="00AC4539">
        <w:t xml:space="preserve"> and the need to ensure </w:t>
      </w:r>
      <w:r w:rsidR="00C761F3">
        <w:t>shocks</w:t>
      </w:r>
      <w:r w:rsidR="00AC4539">
        <w:t xml:space="preserve"> do not derail achievement of the SDGs</w:t>
      </w:r>
      <w:r>
        <w:t>.</w:t>
      </w:r>
      <w:r w:rsidR="00CA702D">
        <w:t xml:space="preserve">  </w:t>
      </w:r>
    </w:p>
    <w:p w14:paraId="574417B0" w14:textId="03AFBF23" w:rsidR="00A4094D" w:rsidRPr="00A4094D" w:rsidRDefault="00A4094D" w:rsidP="00192914">
      <w:pPr>
        <w:jc w:val="both"/>
        <w:rPr>
          <w:b/>
          <w:i/>
        </w:rPr>
      </w:pPr>
      <w:r w:rsidRPr="00A4094D">
        <w:rPr>
          <w:b/>
        </w:rPr>
        <w:t xml:space="preserve">The challenge is to ensure that global dialogue and frameworks are translated into local action that is cohesive and not carried out in silos.  </w:t>
      </w:r>
    </w:p>
    <w:p w14:paraId="1C9E383F" w14:textId="4DE3BEE1" w:rsidR="004F68D9" w:rsidRDefault="00A24C77" w:rsidP="00A24C77">
      <w:pPr>
        <w:pStyle w:val="ListParagraph"/>
        <w:jc w:val="both"/>
      </w:pPr>
      <w:r w:rsidRPr="00CA702D">
        <w:rPr>
          <w:noProof/>
          <w:color w:val="ED7D31" w:themeColor="accent2"/>
          <w:lang w:val="en-US"/>
        </w:rPr>
        <w:drawing>
          <wp:anchor distT="0" distB="0" distL="114300" distR="114300" simplePos="0" relativeHeight="251703296" behindDoc="1" locked="0" layoutInCell="1" allowOverlap="1" wp14:anchorId="566F6B0B" wp14:editId="0085E543">
            <wp:simplePos x="0" y="0"/>
            <wp:positionH relativeFrom="column">
              <wp:posOffset>109538</wp:posOffset>
            </wp:positionH>
            <wp:positionV relativeFrom="paragraph">
              <wp:posOffset>4445</wp:posOffset>
            </wp:positionV>
            <wp:extent cx="333375" cy="333375"/>
            <wp:effectExtent l="0" t="0" r="9525" b="9525"/>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r w:rsidR="00192914" w:rsidRPr="00CA702D">
        <w:rPr>
          <w:rFonts w:ascii="Calibri" w:hAnsi="Calibri"/>
          <w:i/>
          <w:color w:val="ED7D31" w:themeColor="accent2"/>
          <w:sz w:val="22"/>
        </w:rPr>
        <w:t>Guidance is needed to help governments</w:t>
      </w:r>
      <w:r w:rsidR="00334BAD">
        <w:rPr>
          <w:rFonts w:ascii="Calibri" w:hAnsi="Calibri"/>
          <w:i/>
          <w:color w:val="ED7D31" w:themeColor="accent2"/>
          <w:sz w:val="22"/>
        </w:rPr>
        <w:t xml:space="preserve"> </w:t>
      </w:r>
      <w:r w:rsidR="00192914" w:rsidRPr="00CA702D">
        <w:rPr>
          <w:rFonts w:ascii="Calibri" w:hAnsi="Calibri"/>
          <w:i/>
          <w:color w:val="ED7D31" w:themeColor="accent2"/>
          <w:sz w:val="22"/>
          <w:u w:val="single"/>
        </w:rPr>
        <w:t>implement</w:t>
      </w:r>
      <w:r w:rsidR="00192914" w:rsidRPr="00CA702D">
        <w:rPr>
          <w:rFonts w:ascii="Calibri" w:hAnsi="Calibri"/>
          <w:i/>
          <w:color w:val="ED7D31" w:themeColor="accent2"/>
          <w:sz w:val="22"/>
        </w:rPr>
        <w:t xml:space="preserve"> global and regional policy frameworks on these separate issues in a more “unified” </w:t>
      </w:r>
      <w:r w:rsidRPr="00CA702D">
        <w:rPr>
          <w:rFonts w:ascii="Calibri" w:hAnsi="Calibri"/>
          <w:i/>
          <w:color w:val="ED7D31" w:themeColor="accent2"/>
          <w:sz w:val="22"/>
        </w:rPr>
        <w:t xml:space="preserve">and </w:t>
      </w:r>
      <w:r w:rsidR="00831952" w:rsidRPr="00CA702D">
        <w:rPr>
          <w:rFonts w:ascii="Calibri" w:hAnsi="Calibri"/>
          <w:i/>
          <w:color w:val="ED7D31" w:themeColor="accent2"/>
          <w:sz w:val="22"/>
        </w:rPr>
        <w:t xml:space="preserve">collaborative </w:t>
      </w:r>
      <w:r w:rsidRPr="00CA702D">
        <w:rPr>
          <w:rFonts w:ascii="Calibri" w:hAnsi="Calibri"/>
          <w:i/>
          <w:color w:val="ED7D31" w:themeColor="accent2"/>
          <w:sz w:val="22"/>
        </w:rPr>
        <w:t>manner.</w:t>
      </w:r>
      <w:r w:rsidR="004F68D9" w:rsidRPr="004F68D9">
        <w:t xml:space="preserve"> </w:t>
      </w:r>
    </w:p>
    <w:p w14:paraId="17BEC8F3" w14:textId="77777777" w:rsidR="004F68D9" w:rsidRDefault="004F68D9" w:rsidP="00A24C77">
      <w:pPr>
        <w:pStyle w:val="ListParagraph"/>
        <w:jc w:val="both"/>
      </w:pPr>
    </w:p>
    <w:p w14:paraId="054E804B" w14:textId="79914DC0" w:rsidR="00F23FB7" w:rsidRDefault="00F23FB7" w:rsidP="00F23FB7">
      <w:pPr>
        <w:pStyle w:val="Heading2"/>
      </w:pPr>
      <w:bookmarkStart w:id="9" w:name="_Toc451409687"/>
      <w:bookmarkStart w:id="10" w:name="_Toc451948687"/>
      <w:r>
        <w:t>Mainstreaming</w:t>
      </w:r>
      <w:r w:rsidR="00192914">
        <w:t xml:space="preserve"> for risk informed development</w:t>
      </w:r>
      <w:bookmarkEnd w:id="9"/>
      <w:bookmarkEnd w:id="10"/>
    </w:p>
    <w:p w14:paraId="5660C146" w14:textId="77777777" w:rsidR="006966E7" w:rsidRPr="006966E7" w:rsidRDefault="006966E7" w:rsidP="006966E7"/>
    <w:p w14:paraId="37DEDD62" w14:textId="79D6562B" w:rsidR="00FB4A8C" w:rsidRDefault="0075609F" w:rsidP="00FB4A8C">
      <w:pPr>
        <w:jc w:val="both"/>
      </w:pPr>
      <w:r w:rsidRPr="00704FE6">
        <w:rPr>
          <w:rFonts w:ascii="Calibri" w:hAnsi="Calibri"/>
          <w:b/>
          <w:lang w:val="en"/>
        </w:rPr>
        <w:t xml:space="preserve">The solution lies in country-led efforts to mainstream </w:t>
      </w:r>
      <w:r w:rsidR="00E21CD7">
        <w:rPr>
          <w:rFonts w:ascii="Calibri" w:hAnsi="Calibri"/>
          <w:b/>
          <w:i/>
          <w:lang w:val="en"/>
        </w:rPr>
        <w:t xml:space="preserve">both </w:t>
      </w:r>
      <w:r w:rsidRPr="00704FE6">
        <w:rPr>
          <w:rFonts w:ascii="Calibri" w:hAnsi="Calibri"/>
          <w:b/>
          <w:lang w:val="en"/>
        </w:rPr>
        <w:t xml:space="preserve">disaster </w:t>
      </w:r>
      <w:r w:rsidR="00E21CD7">
        <w:rPr>
          <w:rFonts w:ascii="Calibri" w:hAnsi="Calibri"/>
          <w:b/>
          <w:lang w:val="en"/>
        </w:rPr>
        <w:t xml:space="preserve">and climate change </w:t>
      </w:r>
      <w:r w:rsidRPr="00704FE6">
        <w:rPr>
          <w:rFonts w:ascii="Calibri" w:hAnsi="Calibri"/>
          <w:b/>
          <w:lang w:val="en"/>
        </w:rPr>
        <w:t>risks</w:t>
      </w:r>
      <w:r w:rsidR="00E21CD7">
        <w:rPr>
          <w:rFonts w:ascii="Calibri" w:hAnsi="Calibri"/>
          <w:b/>
          <w:lang w:val="en"/>
        </w:rPr>
        <w:t xml:space="preserve"> and their management</w:t>
      </w:r>
      <w:r w:rsidRPr="00704FE6">
        <w:rPr>
          <w:rFonts w:ascii="Calibri" w:hAnsi="Calibri"/>
          <w:b/>
          <w:lang w:val="en"/>
        </w:rPr>
        <w:t xml:space="preserve"> into every day decision making around development</w:t>
      </w:r>
      <w:r w:rsidR="00DC0763">
        <w:rPr>
          <w:rFonts w:ascii="Calibri" w:hAnsi="Calibri"/>
          <w:b/>
          <w:lang w:val="en"/>
        </w:rPr>
        <w:t xml:space="preserve">. </w:t>
      </w:r>
      <w:r w:rsidR="00DC0763">
        <w:t xml:space="preserve">This includes </w:t>
      </w:r>
      <w:r w:rsidR="00AC4539">
        <w:t xml:space="preserve">mainstreaming </w:t>
      </w:r>
      <w:r w:rsidR="00E21CD7">
        <w:t xml:space="preserve">these issues </w:t>
      </w:r>
      <w:r w:rsidR="00AC4539">
        <w:t xml:space="preserve">into </w:t>
      </w:r>
      <w:r w:rsidR="00D96A87">
        <w:t xml:space="preserve">development </w:t>
      </w:r>
      <w:r w:rsidR="00DC0763">
        <w:t>policy</w:t>
      </w:r>
      <w:r w:rsidR="00470ACD">
        <w:t xml:space="preserve"> </w:t>
      </w:r>
      <w:r w:rsidR="00DC0763">
        <w:t xml:space="preserve">making, </w:t>
      </w:r>
      <w:r w:rsidRPr="00704FE6">
        <w:rPr>
          <w:rFonts w:ascii="Calibri" w:hAnsi="Calibri"/>
          <w:lang w:val="en"/>
        </w:rPr>
        <w:t>planning, budgeting</w:t>
      </w:r>
      <w:r w:rsidR="0095198E">
        <w:rPr>
          <w:rFonts w:ascii="Calibri" w:hAnsi="Calibri"/>
          <w:lang w:val="en"/>
        </w:rPr>
        <w:t>, programming,</w:t>
      </w:r>
      <w:r w:rsidRPr="00704FE6">
        <w:rPr>
          <w:rFonts w:ascii="Calibri" w:hAnsi="Calibri"/>
          <w:lang w:val="en"/>
        </w:rPr>
        <w:t xml:space="preserve"> </w:t>
      </w:r>
      <w:r w:rsidR="00E21CD7">
        <w:rPr>
          <w:rFonts w:ascii="Calibri" w:hAnsi="Calibri"/>
          <w:lang w:val="en"/>
        </w:rPr>
        <w:t xml:space="preserve">implementation, </w:t>
      </w:r>
      <w:r w:rsidRPr="00704FE6">
        <w:rPr>
          <w:rFonts w:ascii="Calibri" w:hAnsi="Calibri"/>
          <w:lang w:val="en"/>
        </w:rPr>
        <w:t>monitoring</w:t>
      </w:r>
      <w:r w:rsidR="0095198E">
        <w:rPr>
          <w:rFonts w:ascii="Calibri" w:hAnsi="Calibri"/>
          <w:lang w:val="en"/>
        </w:rPr>
        <w:t xml:space="preserve"> and evaluation</w:t>
      </w:r>
      <w:r w:rsidR="00DC0763">
        <w:rPr>
          <w:rFonts w:ascii="Calibri" w:hAnsi="Calibri"/>
          <w:lang w:val="en"/>
        </w:rPr>
        <w:t xml:space="preserve"> processes at national, sector and subnational levels.</w:t>
      </w:r>
      <w:r w:rsidRPr="00704FE6">
        <w:rPr>
          <w:rFonts w:ascii="Calibri" w:hAnsi="Calibri"/>
          <w:lang w:val="en"/>
        </w:rPr>
        <w:t xml:space="preserve">   </w:t>
      </w:r>
      <w:r w:rsidR="000F21FB" w:rsidRPr="00E21CD7">
        <w:rPr>
          <w:rFonts w:ascii="Calibri" w:hAnsi="Calibri"/>
          <w:u w:val="single"/>
          <w:lang w:val="en"/>
        </w:rPr>
        <w:t>Mainstreaming is when risk is bought into the “</w:t>
      </w:r>
      <w:r w:rsidR="00FB4A8C" w:rsidRPr="00E21CD7">
        <w:rPr>
          <w:rFonts w:ascii="Calibri" w:hAnsi="Calibri"/>
          <w:i/>
          <w:u w:val="single"/>
          <w:lang w:val="en"/>
        </w:rPr>
        <w:t>mainstream</w:t>
      </w:r>
      <w:r w:rsidR="000F21FB" w:rsidRPr="00E21CD7">
        <w:rPr>
          <w:rFonts w:ascii="Calibri" w:hAnsi="Calibri"/>
          <w:u w:val="single"/>
          <w:lang w:val="en"/>
        </w:rPr>
        <w:t>” of activities</w:t>
      </w:r>
      <w:r w:rsidR="000F21FB">
        <w:rPr>
          <w:rFonts w:ascii="Calibri" w:hAnsi="Calibri"/>
          <w:lang w:val="en"/>
        </w:rPr>
        <w:t xml:space="preserve"> </w:t>
      </w:r>
      <w:r w:rsidR="000F21FB" w:rsidRPr="000528B5">
        <w:rPr>
          <w:rFonts w:ascii="Calibri" w:hAnsi="Calibri"/>
          <w:u w:val="single"/>
          <w:lang w:val="en"/>
        </w:rPr>
        <w:t xml:space="preserve">rather than dealt with as an </w:t>
      </w:r>
      <w:r w:rsidR="00FB4A8C" w:rsidRPr="000528B5">
        <w:rPr>
          <w:rFonts w:ascii="Calibri" w:hAnsi="Calibri"/>
          <w:u w:val="single"/>
          <w:lang w:val="en"/>
        </w:rPr>
        <w:t>“</w:t>
      </w:r>
      <w:r w:rsidR="000F21FB" w:rsidRPr="000528B5">
        <w:rPr>
          <w:rFonts w:ascii="Calibri" w:hAnsi="Calibri"/>
          <w:i/>
          <w:u w:val="single"/>
          <w:lang w:val="en"/>
        </w:rPr>
        <w:t>add on</w:t>
      </w:r>
      <w:r w:rsidR="00A24C77" w:rsidRPr="000528B5">
        <w:rPr>
          <w:rFonts w:ascii="Calibri" w:hAnsi="Calibri"/>
          <w:u w:val="single"/>
          <w:lang w:val="en"/>
        </w:rPr>
        <w:t>” issue</w:t>
      </w:r>
      <w:r w:rsidR="00A24C77">
        <w:rPr>
          <w:rFonts w:ascii="Calibri" w:hAnsi="Calibri"/>
          <w:lang w:val="en"/>
        </w:rPr>
        <w:t>.  T</w:t>
      </w:r>
      <w:r w:rsidR="006C6ED8">
        <w:rPr>
          <w:rFonts w:ascii="Calibri" w:hAnsi="Calibri"/>
          <w:lang w:val="en"/>
        </w:rPr>
        <w:t xml:space="preserve">he ‘end result’ </w:t>
      </w:r>
      <w:r w:rsidR="000528B5">
        <w:rPr>
          <w:rFonts w:ascii="Calibri" w:hAnsi="Calibri"/>
          <w:lang w:val="en"/>
        </w:rPr>
        <w:t xml:space="preserve">is </w:t>
      </w:r>
      <w:r w:rsidR="006C6ED8">
        <w:rPr>
          <w:rFonts w:ascii="Calibri" w:hAnsi="Calibri"/>
          <w:lang w:val="en"/>
        </w:rPr>
        <w:t xml:space="preserve">when </w:t>
      </w:r>
      <w:r w:rsidR="00A24C77">
        <w:rPr>
          <w:rFonts w:ascii="Calibri" w:hAnsi="Calibri"/>
          <w:lang w:val="en"/>
        </w:rPr>
        <w:t xml:space="preserve">risk is embedded </w:t>
      </w:r>
      <w:r w:rsidR="006C6ED8">
        <w:rPr>
          <w:rFonts w:ascii="Calibri" w:hAnsi="Calibri"/>
          <w:lang w:val="en"/>
        </w:rPr>
        <w:t>into development practice</w:t>
      </w:r>
      <w:r w:rsidR="00D96A87">
        <w:rPr>
          <w:rFonts w:ascii="Calibri" w:hAnsi="Calibri"/>
          <w:lang w:val="en"/>
        </w:rPr>
        <w:t xml:space="preserve">, is </w:t>
      </w:r>
      <w:r w:rsidR="006C6ED8">
        <w:rPr>
          <w:rFonts w:ascii="Calibri" w:hAnsi="Calibri"/>
          <w:lang w:val="en"/>
        </w:rPr>
        <w:t>fully ins</w:t>
      </w:r>
      <w:r w:rsidR="00A24C77">
        <w:rPr>
          <w:rFonts w:ascii="Calibri" w:hAnsi="Calibri"/>
          <w:lang w:val="en"/>
        </w:rPr>
        <w:t>t</w:t>
      </w:r>
      <w:r w:rsidR="006C6ED8">
        <w:rPr>
          <w:rFonts w:ascii="Calibri" w:hAnsi="Calibri"/>
          <w:lang w:val="en"/>
        </w:rPr>
        <w:t xml:space="preserve">itutionalised within development agendas and </w:t>
      </w:r>
      <w:r w:rsidR="000528B5">
        <w:rPr>
          <w:rFonts w:ascii="Calibri" w:hAnsi="Calibri"/>
          <w:lang w:val="en"/>
        </w:rPr>
        <w:t>therefore</w:t>
      </w:r>
      <w:r w:rsidR="00A24C77">
        <w:rPr>
          <w:rFonts w:ascii="Calibri" w:hAnsi="Calibri"/>
          <w:lang w:val="en"/>
        </w:rPr>
        <w:t xml:space="preserve"> </w:t>
      </w:r>
      <w:r w:rsidR="006C6ED8">
        <w:rPr>
          <w:rFonts w:ascii="Calibri" w:hAnsi="Calibri"/>
          <w:lang w:val="en"/>
        </w:rPr>
        <w:t>meanin</w:t>
      </w:r>
      <w:r w:rsidR="00A24C77">
        <w:rPr>
          <w:rFonts w:ascii="Calibri" w:hAnsi="Calibri"/>
          <w:lang w:val="en"/>
        </w:rPr>
        <w:t>g</w:t>
      </w:r>
      <w:r w:rsidR="006C6ED8">
        <w:rPr>
          <w:rFonts w:ascii="Calibri" w:hAnsi="Calibri"/>
          <w:lang w:val="en"/>
        </w:rPr>
        <w:t>fully reduc</w:t>
      </w:r>
      <w:r w:rsidR="00DC0763">
        <w:rPr>
          <w:rFonts w:ascii="Calibri" w:hAnsi="Calibri"/>
          <w:lang w:val="en"/>
        </w:rPr>
        <w:t>e</w:t>
      </w:r>
      <w:r w:rsidR="00334BAD">
        <w:rPr>
          <w:rFonts w:ascii="Calibri" w:hAnsi="Calibri"/>
          <w:lang w:val="en"/>
        </w:rPr>
        <w:t>s</w:t>
      </w:r>
      <w:r w:rsidR="00A24C77">
        <w:rPr>
          <w:rFonts w:ascii="Calibri" w:hAnsi="Calibri"/>
          <w:lang w:val="en"/>
        </w:rPr>
        <w:t xml:space="preserve"> the losses caused by disasters </w:t>
      </w:r>
      <w:r w:rsidR="000F21FB">
        <w:rPr>
          <w:rFonts w:ascii="Calibri" w:hAnsi="Calibri"/>
          <w:lang w:val="en"/>
        </w:rPr>
        <w:t xml:space="preserve">(UNDP, 2010). </w:t>
      </w:r>
      <w:r w:rsidR="00704FE6">
        <w:t>Mainstreaming is a</w:t>
      </w:r>
      <w:r w:rsidR="00A24C77">
        <w:t xml:space="preserve"> therefore a</w:t>
      </w:r>
      <w:r w:rsidR="00704FE6">
        <w:t xml:space="preserve"> </w:t>
      </w:r>
      <w:r w:rsidR="00704FE6" w:rsidRPr="00704FE6">
        <w:rPr>
          <w:i/>
        </w:rPr>
        <w:t xml:space="preserve">process </w:t>
      </w:r>
      <w:r w:rsidR="00704FE6">
        <w:t>rather than a goal; the outputs of mainstreaming are a “means to an end</w:t>
      </w:r>
      <w:r w:rsidR="00A24C77">
        <w:t>,</w:t>
      </w:r>
      <w:r w:rsidR="00704FE6">
        <w:t xml:space="preserve">” </w:t>
      </w:r>
      <w:r w:rsidR="00BB4E3E">
        <w:t xml:space="preserve">resulting into </w:t>
      </w:r>
      <w:r w:rsidR="00704FE6">
        <w:t xml:space="preserve">a development outcome (i.e. risk informed </w:t>
      </w:r>
      <w:r w:rsidR="00AC4539">
        <w:t xml:space="preserve">and more resilient </w:t>
      </w:r>
      <w:r w:rsidR="00BF756F">
        <w:t>development).</w:t>
      </w:r>
    </w:p>
    <w:p w14:paraId="53B8D6C7" w14:textId="62883D77" w:rsidR="00D96A87" w:rsidRDefault="000528B5" w:rsidP="00D96A87">
      <w:pPr>
        <w:jc w:val="both"/>
      </w:pPr>
      <w:r w:rsidRPr="000528B5">
        <w:rPr>
          <w:b/>
        </w:rPr>
        <w:t>Mainstreaming has significant potential for ensuring development is risk informed</w:t>
      </w:r>
      <w:r>
        <w:rPr>
          <w:b/>
        </w:rPr>
        <w:t xml:space="preserve"> and joint approaches to mainstreaming disaster and climate change risk will support more cohesive and effective action.   </w:t>
      </w:r>
      <w:r w:rsidR="006966E7">
        <w:t xml:space="preserve">Mainstreaming is dynamic process, aiming to embed “risk” at the heart of development policy and practice.  It has a number of key goals: i) to ensure that development is </w:t>
      </w:r>
      <w:r w:rsidR="006966E7" w:rsidRPr="00D96A87">
        <w:rPr>
          <w:u w:val="single"/>
        </w:rPr>
        <w:t xml:space="preserve">protected from </w:t>
      </w:r>
      <w:r w:rsidR="00D96A87" w:rsidRPr="00D96A87">
        <w:rPr>
          <w:u w:val="single"/>
        </w:rPr>
        <w:t>the impacts</w:t>
      </w:r>
      <w:r w:rsidR="00D96A87">
        <w:t xml:space="preserve"> of disaster and climate change</w:t>
      </w:r>
      <w:r w:rsidR="006966E7">
        <w:t xml:space="preserve">; ii) to ensure that development does </w:t>
      </w:r>
      <w:r w:rsidR="00D96A87" w:rsidRPr="00AC4539">
        <w:rPr>
          <w:u w:val="single"/>
        </w:rPr>
        <w:t>not increase existing and future levels of climate</w:t>
      </w:r>
      <w:r w:rsidR="00BB4E3E">
        <w:rPr>
          <w:u w:val="single"/>
        </w:rPr>
        <w:t xml:space="preserve"> change</w:t>
      </w:r>
      <w:r w:rsidR="00D96A87" w:rsidRPr="00AC4539">
        <w:rPr>
          <w:u w:val="single"/>
        </w:rPr>
        <w:t xml:space="preserve"> and disaster risk</w:t>
      </w:r>
      <w:r w:rsidR="00BB4E3E">
        <w:rPr>
          <w:u w:val="single"/>
        </w:rPr>
        <w:t>s</w:t>
      </w:r>
      <w:r w:rsidR="006966E7">
        <w:t xml:space="preserve">; and iii) to promote development as a way to </w:t>
      </w:r>
      <w:r w:rsidR="006966E7" w:rsidRPr="00D96A87">
        <w:rPr>
          <w:u w:val="single"/>
        </w:rPr>
        <w:t>reduce vulnerability</w:t>
      </w:r>
      <w:r w:rsidR="006966E7">
        <w:t xml:space="preserve"> to disaster hazards </w:t>
      </w:r>
      <w:r w:rsidR="006966E7">
        <w:rPr>
          <w:i/>
        </w:rPr>
        <w:t xml:space="preserve">and </w:t>
      </w:r>
      <w:r w:rsidR="006966E7" w:rsidRPr="00D96A87">
        <w:rPr>
          <w:u w:val="single"/>
        </w:rPr>
        <w:t>promote adaptation</w:t>
      </w:r>
      <w:r w:rsidR="006966E7">
        <w:t xml:space="preserve"> to climate change. </w:t>
      </w:r>
    </w:p>
    <w:p w14:paraId="0646662D" w14:textId="3BE59C70" w:rsidR="000528B5" w:rsidRDefault="000528B5" w:rsidP="00FB4A8C">
      <w:pPr>
        <w:jc w:val="both"/>
      </w:pPr>
    </w:p>
    <w:p w14:paraId="2C62515A" w14:textId="25811340" w:rsidR="00BB4E3E" w:rsidRDefault="00F94568" w:rsidP="00BB4E3E">
      <w:pPr>
        <w:pStyle w:val="NormalWeb"/>
        <w:shd w:val="clear" w:color="auto" w:fill="FFFFFF"/>
        <w:spacing w:line="276" w:lineRule="auto"/>
        <w:jc w:val="both"/>
        <w:rPr>
          <w:rFonts w:ascii="Calibri" w:hAnsi="Calibri"/>
          <w:sz w:val="22"/>
          <w:szCs w:val="22"/>
        </w:rPr>
      </w:pPr>
      <w:r w:rsidRPr="0095198E">
        <w:rPr>
          <w:rFonts w:ascii="Calibri" w:hAnsi="Calibri"/>
          <w:b/>
          <w:sz w:val="22"/>
          <w:szCs w:val="22"/>
        </w:rPr>
        <w:t xml:space="preserve">Ongoing programmes have developed practical resources to support mainstreaming, however, these have usually focused on </w:t>
      </w:r>
      <w:r w:rsidRPr="00D96A87">
        <w:rPr>
          <w:rFonts w:ascii="Calibri" w:hAnsi="Calibri"/>
          <w:b/>
          <w:sz w:val="22"/>
          <w:szCs w:val="22"/>
        </w:rPr>
        <w:t>either</w:t>
      </w:r>
      <w:r w:rsidRPr="0095198E">
        <w:rPr>
          <w:rFonts w:ascii="Calibri" w:hAnsi="Calibri"/>
          <w:b/>
          <w:i/>
          <w:sz w:val="22"/>
          <w:szCs w:val="22"/>
        </w:rPr>
        <w:t xml:space="preserve"> </w:t>
      </w:r>
      <w:r w:rsidRPr="0095198E">
        <w:rPr>
          <w:rFonts w:ascii="Calibri" w:hAnsi="Calibri"/>
          <w:b/>
          <w:sz w:val="22"/>
          <w:szCs w:val="22"/>
        </w:rPr>
        <w:t xml:space="preserve">disaster risk </w:t>
      </w:r>
      <w:r w:rsidRPr="0095198E">
        <w:rPr>
          <w:rFonts w:ascii="Calibri" w:hAnsi="Calibri"/>
          <w:b/>
          <w:i/>
          <w:sz w:val="22"/>
          <w:szCs w:val="22"/>
        </w:rPr>
        <w:t>or</w:t>
      </w:r>
      <w:r w:rsidRPr="0095198E">
        <w:rPr>
          <w:rFonts w:ascii="Calibri" w:hAnsi="Calibri"/>
          <w:b/>
          <w:sz w:val="22"/>
          <w:szCs w:val="22"/>
        </w:rPr>
        <w:t xml:space="preserve"> climate risk; and not both</w:t>
      </w:r>
      <w:r w:rsidRPr="0095198E">
        <w:rPr>
          <w:rFonts w:ascii="Calibri" w:hAnsi="Calibri"/>
          <w:sz w:val="22"/>
          <w:szCs w:val="22"/>
        </w:rPr>
        <w:t xml:space="preserve">. These have been valuable for providing strategies to separately mainstream either DRR or CCA; and have been used to inform the work of UNDP in several countries, as well as multi-partner initiatives, such as the Mainstreaming Adaptation and Disaster Risk Reduction into </w:t>
      </w:r>
      <w:r w:rsidR="00BB4E3E">
        <w:rPr>
          <w:rFonts w:ascii="Calibri" w:hAnsi="Calibri"/>
          <w:sz w:val="22"/>
          <w:szCs w:val="22"/>
        </w:rPr>
        <w:t>Development Initiative (MADRiD) and the Integrated Climate Risk Management Programme (ICRMP).</w:t>
      </w:r>
    </w:p>
    <w:p w14:paraId="22989C7E" w14:textId="3BB7903A" w:rsidR="00F94568" w:rsidRDefault="00F94568" w:rsidP="00F94568">
      <w:pPr>
        <w:pStyle w:val="NormalWeb"/>
        <w:shd w:val="clear" w:color="auto" w:fill="FFFFFF"/>
        <w:spacing w:line="276" w:lineRule="auto"/>
        <w:jc w:val="both"/>
        <w:rPr>
          <w:rFonts w:ascii="Calibri" w:hAnsi="Calibri"/>
          <w:sz w:val="22"/>
          <w:szCs w:val="22"/>
        </w:rPr>
      </w:pPr>
      <w:r w:rsidRPr="0095198E">
        <w:rPr>
          <w:rFonts w:ascii="Calibri" w:hAnsi="Calibri"/>
          <w:b/>
          <w:sz w:val="22"/>
          <w:szCs w:val="22"/>
        </w:rPr>
        <w:t xml:space="preserve">However, these </w:t>
      </w:r>
      <w:r>
        <w:rPr>
          <w:rFonts w:ascii="Calibri" w:hAnsi="Calibri"/>
          <w:b/>
          <w:sz w:val="22"/>
          <w:szCs w:val="22"/>
        </w:rPr>
        <w:t xml:space="preserve">resources </w:t>
      </w:r>
      <w:r w:rsidRPr="0095198E">
        <w:rPr>
          <w:rFonts w:ascii="Calibri" w:hAnsi="Calibri"/>
          <w:b/>
          <w:sz w:val="22"/>
          <w:szCs w:val="22"/>
        </w:rPr>
        <w:t xml:space="preserve">need to be updated, to provide practical guidance and tools on </w:t>
      </w:r>
      <w:r w:rsidRPr="0095198E">
        <w:rPr>
          <w:rFonts w:ascii="Calibri" w:hAnsi="Calibri"/>
          <w:b/>
          <w:i/>
          <w:sz w:val="22"/>
          <w:szCs w:val="22"/>
        </w:rPr>
        <w:t>both</w:t>
      </w:r>
      <w:r w:rsidRPr="0095198E">
        <w:rPr>
          <w:rFonts w:ascii="Calibri" w:hAnsi="Calibri"/>
          <w:b/>
          <w:sz w:val="22"/>
          <w:szCs w:val="22"/>
        </w:rPr>
        <w:t xml:space="preserve"> DRR and CCA issues to ensure </w:t>
      </w:r>
      <w:r w:rsidR="00D96A87">
        <w:rPr>
          <w:rFonts w:ascii="Calibri" w:hAnsi="Calibri"/>
          <w:b/>
          <w:sz w:val="22"/>
          <w:szCs w:val="22"/>
        </w:rPr>
        <w:t xml:space="preserve">mainstreaming </w:t>
      </w:r>
      <w:r w:rsidRPr="0095198E">
        <w:rPr>
          <w:rFonts w:ascii="Calibri" w:hAnsi="Calibri"/>
          <w:b/>
          <w:sz w:val="22"/>
          <w:szCs w:val="22"/>
        </w:rPr>
        <w:t>coherence.</w:t>
      </w:r>
      <w:r w:rsidRPr="0095198E">
        <w:rPr>
          <w:rFonts w:ascii="Calibri" w:hAnsi="Calibri"/>
          <w:i/>
          <w:sz w:val="22"/>
          <w:szCs w:val="22"/>
        </w:rPr>
        <w:t xml:space="preserve"> </w:t>
      </w:r>
      <w:r w:rsidRPr="0095198E">
        <w:rPr>
          <w:rFonts w:ascii="Calibri" w:hAnsi="Calibri"/>
          <w:sz w:val="22"/>
          <w:szCs w:val="22"/>
        </w:rPr>
        <w:t>There is growing recognition that joint approaches to disaster risk reduction (DRR), climate change adaptation (CCA) and sustainable development are essential.</w:t>
      </w:r>
      <w:r w:rsidRPr="0095198E">
        <w:rPr>
          <w:rFonts w:ascii="Calibri" w:hAnsi="Calibri"/>
          <w:b/>
          <w:sz w:val="22"/>
          <w:szCs w:val="22"/>
        </w:rPr>
        <w:t xml:space="preserve"> </w:t>
      </w:r>
      <w:r w:rsidRPr="009D21B0">
        <w:rPr>
          <w:rFonts w:ascii="Calibri" w:hAnsi="Calibri"/>
          <w:i/>
          <w:sz w:val="22"/>
          <w:szCs w:val="22"/>
        </w:rPr>
        <w:t>“DRR and CCA both share an overarching goal o</w:t>
      </w:r>
      <w:r>
        <w:rPr>
          <w:rFonts w:ascii="Calibri" w:hAnsi="Calibri"/>
          <w:i/>
          <w:sz w:val="22"/>
          <w:szCs w:val="22"/>
        </w:rPr>
        <w:t>f</w:t>
      </w:r>
      <w:r w:rsidRPr="009D21B0">
        <w:rPr>
          <w:rFonts w:ascii="Calibri" w:hAnsi="Calibri"/>
          <w:i/>
          <w:sz w:val="22"/>
          <w:szCs w:val="22"/>
        </w:rPr>
        <w:t xml:space="preserve"> reducing vulnerability and building resilience as a means to achieve long-term sustainable development. However, these two practices are often implemented in silos using parallel institutional structures, policy and legal instruments, community of practices and approaches at global, regional, national, sectoral and local level.  And thus creating duplications, confusion and in some cases competition that can result in limited impacts on the share goal”</w:t>
      </w:r>
      <w:r>
        <w:rPr>
          <w:rFonts w:ascii="Calibri" w:hAnsi="Calibri"/>
          <w:sz w:val="22"/>
          <w:szCs w:val="22"/>
        </w:rPr>
        <w:t xml:space="preserve"> (UNDP, CRM, 2014). </w:t>
      </w:r>
    </w:p>
    <w:p w14:paraId="0EDCD2FF" w14:textId="26289042" w:rsidR="006966E7" w:rsidRPr="0064632B" w:rsidRDefault="00831952" w:rsidP="006966E7">
      <w:pPr>
        <w:jc w:val="both"/>
        <w:rPr>
          <w:rFonts w:ascii="Calibri" w:hAnsi="Calibri"/>
          <w:i/>
          <w:lang w:val="en"/>
        </w:rPr>
      </w:pPr>
      <w:r>
        <w:rPr>
          <w:rFonts w:ascii="Calibri" w:hAnsi="Calibri"/>
          <w:b/>
          <w:lang w:val="en"/>
        </w:rPr>
        <w:t xml:space="preserve">However, </w:t>
      </w:r>
      <w:r w:rsidR="00D96A87">
        <w:rPr>
          <w:rFonts w:ascii="Calibri" w:hAnsi="Calibri"/>
          <w:b/>
          <w:lang w:val="en"/>
        </w:rPr>
        <w:t xml:space="preserve">although there is recognition that more coherent mainstreaming is needed, </w:t>
      </w:r>
      <w:r>
        <w:rPr>
          <w:rFonts w:ascii="Calibri" w:hAnsi="Calibri"/>
          <w:b/>
          <w:lang w:val="en"/>
        </w:rPr>
        <w:t xml:space="preserve">progress </w:t>
      </w:r>
      <w:r w:rsidR="006966E7">
        <w:rPr>
          <w:rFonts w:ascii="Calibri" w:hAnsi="Calibri"/>
          <w:b/>
          <w:lang w:val="en"/>
        </w:rPr>
        <w:t>has in many cases been l</w:t>
      </w:r>
      <w:r w:rsidR="008B18FC">
        <w:rPr>
          <w:rFonts w:ascii="Calibri" w:hAnsi="Calibri"/>
          <w:b/>
          <w:lang w:val="en"/>
        </w:rPr>
        <w:t>imited</w:t>
      </w:r>
      <w:r w:rsidR="00D96A87">
        <w:rPr>
          <w:rFonts w:ascii="Calibri" w:hAnsi="Calibri"/>
          <w:b/>
          <w:lang w:val="en"/>
        </w:rPr>
        <w:t xml:space="preserve">. </w:t>
      </w:r>
      <w:r w:rsidR="00D96A87" w:rsidRPr="00D96A87">
        <w:rPr>
          <w:rFonts w:ascii="Calibri" w:hAnsi="Calibri"/>
          <w:lang w:val="en"/>
        </w:rPr>
        <w:t>P</w:t>
      </w:r>
      <w:r w:rsidRPr="00D96A87">
        <w:rPr>
          <w:rFonts w:ascii="Calibri" w:hAnsi="Calibri"/>
          <w:lang w:val="en"/>
        </w:rPr>
        <w:t xml:space="preserve">ractitioners are finding </w:t>
      </w:r>
      <w:r w:rsidRPr="00D96A87">
        <w:rPr>
          <w:rFonts w:ascii="Calibri" w:hAnsi="Calibri"/>
          <w:u w:val="single"/>
          <w:lang w:val="en"/>
        </w:rPr>
        <w:t>implementation difficult</w:t>
      </w:r>
      <w:r w:rsidR="008B18FC" w:rsidRPr="00D96A87">
        <w:rPr>
          <w:rFonts w:ascii="Calibri" w:hAnsi="Calibri"/>
          <w:lang w:val="en"/>
        </w:rPr>
        <w:t>,</w:t>
      </w:r>
      <w:r w:rsidRPr="00D96A87">
        <w:rPr>
          <w:rFonts w:ascii="Calibri" w:hAnsi="Calibri"/>
          <w:lang w:val="en"/>
        </w:rPr>
        <w:t xml:space="preserve"> and a number of </w:t>
      </w:r>
      <w:r w:rsidRPr="00D96A87">
        <w:rPr>
          <w:rFonts w:ascii="Calibri" w:hAnsi="Calibri"/>
          <w:u w:val="single"/>
          <w:lang w:val="en"/>
        </w:rPr>
        <w:t>bottlenecks</w:t>
      </w:r>
      <w:r w:rsidRPr="00D96A87">
        <w:rPr>
          <w:rFonts w:ascii="Calibri" w:hAnsi="Calibri"/>
          <w:lang w:val="en"/>
        </w:rPr>
        <w:t xml:space="preserve"> </w:t>
      </w:r>
      <w:r w:rsidR="006966E7" w:rsidRPr="00D96A87">
        <w:rPr>
          <w:rFonts w:ascii="Calibri" w:hAnsi="Calibri"/>
          <w:lang w:val="en"/>
        </w:rPr>
        <w:t xml:space="preserve">to mainstreaming </w:t>
      </w:r>
      <w:r w:rsidR="0079349E" w:rsidRPr="00D96A87">
        <w:rPr>
          <w:rFonts w:ascii="Calibri" w:hAnsi="Calibri"/>
          <w:lang w:val="en"/>
        </w:rPr>
        <w:t>have been identified</w:t>
      </w:r>
      <w:r w:rsidR="0079349E">
        <w:rPr>
          <w:rFonts w:ascii="Calibri" w:hAnsi="Calibri"/>
          <w:b/>
          <w:lang w:val="en"/>
        </w:rPr>
        <w:t>.</w:t>
      </w:r>
      <w:r w:rsidR="006966E7">
        <w:rPr>
          <w:rFonts w:ascii="Calibri" w:hAnsi="Calibri"/>
          <w:b/>
          <w:lang w:val="en"/>
        </w:rPr>
        <w:t xml:space="preserve"> </w:t>
      </w:r>
      <w:r w:rsidR="0064632B">
        <w:rPr>
          <w:rFonts w:ascii="Calibri" w:hAnsi="Calibri"/>
          <w:lang w:val="en"/>
        </w:rPr>
        <w:t>These issues have challenged mainstreaming implementation and include:</w:t>
      </w:r>
      <w:r w:rsidR="00780864">
        <w:rPr>
          <w:rFonts w:ascii="Calibri" w:hAnsi="Calibri"/>
          <w:lang w:val="en"/>
        </w:rPr>
        <w:t xml:space="preserve"> i</w:t>
      </w:r>
      <w:r w:rsidR="002048AB">
        <w:rPr>
          <w:rFonts w:ascii="Calibri" w:hAnsi="Calibri"/>
          <w:lang w:val="en"/>
        </w:rPr>
        <w:t xml:space="preserve">nsufficient funding, </w:t>
      </w:r>
      <w:r w:rsidR="00954AEB">
        <w:rPr>
          <w:rFonts w:ascii="Calibri" w:hAnsi="Calibri"/>
          <w:lang w:val="en"/>
        </w:rPr>
        <w:t xml:space="preserve">lack of awareness and risk knowledge, limited political </w:t>
      </w:r>
      <w:r w:rsidR="0064632B">
        <w:rPr>
          <w:rFonts w:ascii="Calibri" w:hAnsi="Calibri"/>
          <w:lang w:val="en"/>
        </w:rPr>
        <w:t xml:space="preserve">will </w:t>
      </w:r>
      <w:r w:rsidR="00954AEB">
        <w:rPr>
          <w:rFonts w:ascii="Calibri" w:hAnsi="Calibri"/>
          <w:lang w:val="en"/>
        </w:rPr>
        <w:t>and commitment, poor coordination, lack of capacity, insufficient stakeholder participation</w:t>
      </w:r>
      <w:r w:rsidR="0064632B">
        <w:rPr>
          <w:rFonts w:ascii="Calibri" w:hAnsi="Calibri"/>
          <w:lang w:val="en"/>
        </w:rPr>
        <w:t>,</w:t>
      </w:r>
      <w:r w:rsidR="00954AEB">
        <w:rPr>
          <w:rFonts w:ascii="Calibri" w:hAnsi="Calibri"/>
          <w:lang w:val="en"/>
        </w:rPr>
        <w:t xml:space="preserve"> </w:t>
      </w:r>
      <w:r w:rsidR="002048AB">
        <w:rPr>
          <w:rFonts w:ascii="Calibri" w:hAnsi="Calibri"/>
          <w:lang w:val="en"/>
        </w:rPr>
        <w:t>lack of continuity</w:t>
      </w:r>
      <w:r w:rsidR="00954AEB">
        <w:rPr>
          <w:rFonts w:ascii="Calibri" w:hAnsi="Calibri"/>
          <w:lang w:val="en"/>
        </w:rPr>
        <w:t>,</w:t>
      </w:r>
      <w:r w:rsidR="002048AB">
        <w:rPr>
          <w:rFonts w:ascii="Calibri" w:hAnsi="Calibri"/>
          <w:lang w:val="en"/>
        </w:rPr>
        <w:t xml:space="preserve"> piece-meal approach</w:t>
      </w:r>
      <w:r w:rsidR="00954AEB">
        <w:rPr>
          <w:rFonts w:ascii="Calibri" w:hAnsi="Calibri"/>
          <w:lang w:val="en"/>
        </w:rPr>
        <w:t>es</w:t>
      </w:r>
      <w:r w:rsidR="0064632B">
        <w:rPr>
          <w:rFonts w:ascii="Calibri" w:hAnsi="Calibri"/>
          <w:lang w:val="en"/>
        </w:rPr>
        <w:t xml:space="preserve">, </w:t>
      </w:r>
      <w:r w:rsidR="00D96A87">
        <w:rPr>
          <w:rFonts w:ascii="Calibri" w:hAnsi="Calibri"/>
          <w:lang w:val="en"/>
        </w:rPr>
        <w:t>and a lack of sustainability</w:t>
      </w:r>
      <w:r w:rsidR="002048AB">
        <w:rPr>
          <w:rFonts w:ascii="Calibri" w:hAnsi="Calibri"/>
          <w:lang w:val="en"/>
        </w:rPr>
        <w:t xml:space="preserve"> (A</w:t>
      </w:r>
      <w:r w:rsidR="002E6502">
        <w:rPr>
          <w:rFonts w:ascii="Calibri" w:hAnsi="Calibri"/>
          <w:lang w:val="en"/>
        </w:rPr>
        <w:t>ysan</w:t>
      </w:r>
      <w:r w:rsidR="002048AB">
        <w:rPr>
          <w:rFonts w:ascii="Calibri" w:hAnsi="Calibri"/>
          <w:lang w:val="en"/>
        </w:rPr>
        <w:t xml:space="preserve"> &amp; L</w:t>
      </w:r>
      <w:r w:rsidR="00954AEB">
        <w:rPr>
          <w:rFonts w:ascii="Calibri" w:hAnsi="Calibri"/>
          <w:lang w:val="en"/>
        </w:rPr>
        <w:t>avell,20</w:t>
      </w:r>
      <w:r w:rsidR="002E6502">
        <w:rPr>
          <w:rFonts w:ascii="Calibri" w:hAnsi="Calibri"/>
          <w:lang w:val="en"/>
        </w:rPr>
        <w:t>14</w:t>
      </w:r>
      <w:r w:rsidR="00954AEB">
        <w:rPr>
          <w:rFonts w:ascii="Calibri" w:hAnsi="Calibri"/>
          <w:lang w:val="en"/>
        </w:rPr>
        <w:t>; UNEP &amp; UNDP, 2011/2015</w:t>
      </w:r>
      <w:r w:rsidR="002048AB">
        <w:rPr>
          <w:rFonts w:ascii="Calibri" w:hAnsi="Calibri"/>
          <w:lang w:val="en"/>
        </w:rPr>
        <w:t>)</w:t>
      </w:r>
      <w:r w:rsidR="0064632B">
        <w:rPr>
          <w:rFonts w:ascii="Calibri" w:hAnsi="Calibri"/>
          <w:lang w:val="en"/>
        </w:rPr>
        <w:t xml:space="preserve"> (see </w:t>
      </w:r>
      <w:r w:rsidR="0064632B">
        <w:rPr>
          <w:rFonts w:ascii="Calibri" w:hAnsi="Calibri"/>
          <w:i/>
          <w:lang w:val="en"/>
        </w:rPr>
        <w:t>Box 1)</w:t>
      </w:r>
      <w:r w:rsidR="002E6502">
        <w:rPr>
          <w:rFonts w:ascii="Calibri" w:hAnsi="Calibri"/>
          <w:lang w:val="en"/>
        </w:rPr>
        <w:t xml:space="preserve">.  </w:t>
      </w:r>
    </w:p>
    <w:p w14:paraId="25DF183B" w14:textId="32352D6B" w:rsidR="001A2F5B" w:rsidRPr="006966E7" w:rsidRDefault="00B15669" w:rsidP="00FB4A8C">
      <w:pPr>
        <w:jc w:val="both"/>
        <w:rPr>
          <w:rFonts w:ascii="Calibri" w:hAnsi="Calibri"/>
          <w:b/>
          <w:i/>
          <w:color w:val="833C0B" w:themeColor="accent2" w:themeShade="80"/>
          <w:lang w:val="en"/>
        </w:rPr>
      </w:pPr>
      <w:r w:rsidRPr="006966E7">
        <w:rPr>
          <w:rFonts w:ascii="Calibri" w:hAnsi="Calibri"/>
          <w:b/>
          <w:i/>
          <w:color w:val="833C0B" w:themeColor="accent2" w:themeShade="80"/>
          <w:lang w:val="en"/>
        </w:rPr>
        <w:t xml:space="preserve">Box </w:t>
      </w:r>
      <w:r w:rsidR="008E22C9" w:rsidRPr="006966E7">
        <w:rPr>
          <w:rFonts w:ascii="Calibri" w:hAnsi="Calibri"/>
          <w:b/>
          <w:i/>
          <w:color w:val="833C0B" w:themeColor="accent2" w:themeShade="80"/>
          <w:lang w:val="en"/>
        </w:rPr>
        <w:t>1</w:t>
      </w:r>
      <w:r w:rsidRPr="006966E7">
        <w:rPr>
          <w:rFonts w:ascii="Calibri" w:hAnsi="Calibri"/>
          <w:b/>
          <w:i/>
          <w:color w:val="833C0B" w:themeColor="accent2" w:themeShade="80"/>
          <w:lang w:val="en"/>
        </w:rPr>
        <w:t xml:space="preserve">: </w:t>
      </w:r>
      <w:r w:rsidR="00470ACD" w:rsidRPr="006966E7">
        <w:rPr>
          <w:rFonts w:ascii="Calibri" w:hAnsi="Calibri"/>
          <w:b/>
          <w:i/>
          <w:color w:val="833C0B" w:themeColor="accent2" w:themeShade="80"/>
          <w:lang w:val="en"/>
        </w:rPr>
        <w:t xml:space="preserve">Challenges for </w:t>
      </w:r>
      <w:r w:rsidR="001A2F5B" w:rsidRPr="006966E7">
        <w:rPr>
          <w:rFonts w:ascii="Calibri" w:hAnsi="Calibri"/>
          <w:b/>
          <w:i/>
          <w:color w:val="833C0B" w:themeColor="accent2" w:themeShade="80"/>
          <w:lang w:val="en"/>
        </w:rPr>
        <w:t xml:space="preserve">Mainstreaming </w:t>
      </w:r>
      <w:r w:rsidR="00470ACD" w:rsidRPr="006966E7">
        <w:rPr>
          <w:rFonts w:ascii="Calibri" w:hAnsi="Calibri"/>
          <w:b/>
          <w:i/>
          <w:color w:val="833C0B" w:themeColor="accent2" w:themeShade="80"/>
          <w:lang w:val="en"/>
        </w:rPr>
        <w:t xml:space="preserve">of </w:t>
      </w:r>
      <w:r w:rsidR="008E22C9" w:rsidRPr="006966E7">
        <w:rPr>
          <w:rFonts w:ascii="Calibri" w:hAnsi="Calibri"/>
          <w:b/>
          <w:i/>
          <w:color w:val="833C0B" w:themeColor="accent2" w:themeShade="80"/>
          <w:lang w:val="en"/>
        </w:rPr>
        <w:t xml:space="preserve">DRR </w:t>
      </w:r>
      <w:r w:rsidR="00470ACD" w:rsidRPr="006966E7">
        <w:rPr>
          <w:rFonts w:ascii="Calibri" w:hAnsi="Calibri"/>
          <w:b/>
          <w:i/>
          <w:color w:val="833C0B" w:themeColor="accent2" w:themeShade="80"/>
          <w:lang w:val="en"/>
        </w:rPr>
        <w:t>and CCA</w:t>
      </w:r>
    </w:p>
    <w:tbl>
      <w:tblPr>
        <w:tblStyle w:val="TableGrid"/>
        <w:tblW w:w="0" w:type="auto"/>
        <w:shd w:val="clear" w:color="auto" w:fill="FBE4D5" w:themeFill="accent2" w:themeFillTint="33"/>
        <w:tblLook w:val="04A0" w:firstRow="1" w:lastRow="0" w:firstColumn="1" w:lastColumn="0" w:noHBand="0" w:noVBand="1"/>
      </w:tblPr>
      <w:tblGrid>
        <w:gridCol w:w="9918"/>
      </w:tblGrid>
      <w:tr w:rsidR="001A2F5B" w14:paraId="39D14751" w14:textId="77777777" w:rsidTr="00D96A87">
        <w:tc>
          <w:tcPr>
            <w:tcW w:w="9918" w:type="dxa"/>
            <w:shd w:val="clear" w:color="auto" w:fill="FBE4D5" w:themeFill="accent2" w:themeFillTint="33"/>
          </w:tcPr>
          <w:p w14:paraId="7BA6F322" w14:textId="434DD1BC" w:rsidR="003E6420" w:rsidRPr="003E6420" w:rsidRDefault="003E6420" w:rsidP="001A2F5B">
            <w:pPr>
              <w:jc w:val="both"/>
              <w:rPr>
                <w:rFonts w:ascii="Calibri" w:hAnsi="Calibri"/>
                <w:sz w:val="20"/>
                <w:szCs w:val="20"/>
                <w:lang w:val="en"/>
              </w:rPr>
            </w:pPr>
            <w:r>
              <w:rPr>
                <w:rFonts w:ascii="Calibri" w:hAnsi="Calibri"/>
                <w:b/>
                <w:sz w:val="20"/>
                <w:szCs w:val="20"/>
                <w:lang w:val="en"/>
              </w:rPr>
              <w:t xml:space="preserve">Lack of awareness.  </w:t>
            </w:r>
            <w:r w:rsidR="0064632B">
              <w:rPr>
                <w:rFonts w:ascii="Calibri" w:hAnsi="Calibri"/>
                <w:sz w:val="20"/>
                <w:szCs w:val="20"/>
                <w:lang w:val="en"/>
              </w:rPr>
              <w:t>I</w:t>
            </w:r>
            <w:r>
              <w:rPr>
                <w:rFonts w:ascii="Calibri" w:hAnsi="Calibri"/>
                <w:sz w:val="20"/>
                <w:szCs w:val="20"/>
                <w:lang w:val="en"/>
              </w:rPr>
              <w:t xml:space="preserve">n many countries, </w:t>
            </w:r>
            <w:r w:rsidR="008E22C9">
              <w:rPr>
                <w:rFonts w:ascii="Calibri" w:hAnsi="Calibri"/>
                <w:sz w:val="20"/>
                <w:szCs w:val="20"/>
                <w:lang w:val="en"/>
              </w:rPr>
              <w:t>risk</w:t>
            </w:r>
            <w:r>
              <w:rPr>
                <w:rFonts w:ascii="Calibri" w:hAnsi="Calibri"/>
                <w:sz w:val="20"/>
                <w:szCs w:val="20"/>
                <w:lang w:val="en"/>
              </w:rPr>
              <w:t xml:space="preserve"> continue</w:t>
            </w:r>
            <w:r w:rsidR="008E22C9">
              <w:rPr>
                <w:rFonts w:ascii="Calibri" w:hAnsi="Calibri"/>
                <w:sz w:val="20"/>
                <w:szCs w:val="20"/>
                <w:lang w:val="en"/>
              </w:rPr>
              <w:t>s</w:t>
            </w:r>
            <w:r>
              <w:rPr>
                <w:rFonts w:ascii="Calibri" w:hAnsi="Calibri"/>
                <w:sz w:val="20"/>
                <w:szCs w:val="20"/>
                <w:lang w:val="en"/>
              </w:rPr>
              <w:t xml:space="preserve"> to be treated primarily as a humanitarian o</w:t>
            </w:r>
            <w:r w:rsidR="00DF2130">
              <w:rPr>
                <w:rFonts w:ascii="Calibri" w:hAnsi="Calibri"/>
                <w:sz w:val="20"/>
                <w:szCs w:val="20"/>
                <w:lang w:val="en"/>
              </w:rPr>
              <w:t>r</w:t>
            </w:r>
            <w:r>
              <w:rPr>
                <w:rFonts w:ascii="Calibri" w:hAnsi="Calibri"/>
                <w:sz w:val="20"/>
                <w:szCs w:val="20"/>
                <w:lang w:val="en"/>
              </w:rPr>
              <w:t xml:space="preserve"> scientific issue</w:t>
            </w:r>
            <w:r w:rsidR="0064632B">
              <w:rPr>
                <w:rFonts w:ascii="Calibri" w:hAnsi="Calibri"/>
                <w:sz w:val="20"/>
                <w:szCs w:val="20"/>
                <w:lang w:val="en"/>
              </w:rPr>
              <w:t xml:space="preserve"> </w:t>
            </w:r>
            <w:r>
              <w:rPr>
                <w:rFonts w:ascii="Calibri" w:hAnsi="Calibri"/>
                <w:sz w:val="20"/>
                <w:szCs w:val="20"/>
                <w:lang w:val="en"/>
              </w:rPr>
              <w:t>rather than a core development concern</w:t>
            </w:r>
            <w:r w:rsidR="0064632B">
              <w:rPr>
                <w:rFonts w:ascii="Calibri" w:hAnsi="Calibri"/>
                <w:sz w:val="20"/>
                <w:szCs w:val="20"/>
                <w:lang w:val="en"/>
              </w:rPr>
              <w:t xml:space="preserve"> (IIED, 2013)</w:t>
            </w:r>
            <w:r>
              <w:rPr>
                <w:rFonts w:ascii="Calibri" w:hAnsi="Calibri"/>
                <w:sz w:val="20"/>
                <w:szCs w:val="20"/>
                <w:lang w:val="en"/>
              </w:rPr>
              <w:t xml:space="preserve">.  There </w:t>
            </w:r>
            <w:r w:rsidR="008E22C9">
              <w:rPr>
                <w:rFonts w:ascii="Calibri" w:hAnsi="Calibri"/>
                <w:sz w:val="20"/>
                <w:szCs w:val="20"/>
                <w:lang w:val="en"/>
              </w:rPr>
              <w:t>is</w:t>
            </w:r>
            <w:r>
              <w:rPr>
                <w:rFonts w:ascii="Calibri" w:hAnsi="Calibri"/>
                <w:sz w:val="20"/>
                <w:szCs w:val="20"/>
                <w:lang w:val="en"/>
              </w:rPr>
              <w:t xml:space="preserve"> a lack of awareness outside dedicated government units for disaster management or climate change</w:t>
            </w:r>
            <w:r w:rsidR="00DF2130">
              <w:rPr>
                <w:rFonts w:ascii="Calibri" w:hAnsi="Calibri"/>
                <w:sz w:val="20"/>
                <w:szCs w:val="20"/>
                <w:lang w:val="en"/>
              </w:rPr>
              <w:t>;</w:t>
            </w:r>
            <w:r>
              <w:rPr>
                <w:rFonts w:ascii="Calibri" w:hAnsi="Calibri"/>
                <w:sz w:val="20"/>
                <w:szCs w:val="20"/>
                <w:lang w:val="en"/>
              </w:rPr>
              <w:t xml:space="preserve"> and policymakers and development practitioners have limited understanding of the risk posed by natural hazards, the relation of these risks with social and gender dynamics, and how these relate to development priorities (UNDP, 2010). </w:t>
            </w:r>
          </w:p>
          <w:p w14:paraId="6C761128" w14:textId="1573D18D" w:rsidR="003E6420" w:rsidRDefault="003E6420" w:rsidP="001A2F5B">
            <w:pPr>
              <w:jc w:val="both"/>
              <w:rPr>
                <w:rFonts w:ascii="Calibri" w:hAnsi="Calibri"/>
                <w:b/>
                <w:sz w:val="20"/>
                <w:szCs w:val="20"/>
                <w:lang w:val="en"/>
              </w:rPr>
            </w:pPr>
          </w:p>
          <w:p w14:paraId="431A924A" w14:textId="77C07C85" w:rsidR="001A2F5B" w:rsidRDefault="001A2F5B" w:rsidP="001A2F5B">
            <w:pPr>
              <w:jc w:val="both"/>
              <w:rPr>
                <w:sz w:val="20"/>
                <w:szCs w:val="20"/>
              </w:rPr>
            </w:pPr>
            <w:r>
              <w:rPr>
                <w:rFonts w:ascii="Calibri" w:hAnsi="Calibri"/>
                <w:b/>
                <w:sz w:val="20"/>
                <w:szCs w:val="20"/>
                <w:lang w:val="en"/>
              </w:rPr>
              <w:t>Political commitment and ownership</w:t>
            </w:r>
            <w:r w:rsidR="00B15669">
              <w:rPr>
                <w:rFonts w:ascii="Calibri" w:hAnsi="Calibri"/>
                <w:b/>
                <w:sz w:val="20"/>
                <w:szCs w:val="20"/>
                <w:lang w:val="en"/>
              </w:rPr>
              <w:t xml:space="preserve">.  </w:t>
            </w:r>
            <w:r w:rsidR="00B15669" w:rsidRPr="00B15669">
              <w:rPr>
                <w:rFonts w:ascii="Calibri" w:hAnsi="Calibri"/>
                <w:sz w:val="20"/>
                <w:szCs w:val="20"/>
                <w:lang w:val="en"/>
              </w:rPr>
              <w:t xml:space="preserve">A lack of prioritisation </w:t>
            </w:r>
            <w:r w:rsidR="00B15669">
              <w:rPr>
                <w:rFonts w:ascii="Calibri" w:hAnsi="Calibri"/>
                <w:sz w:val="20"/>
                <w:szCs w:val="20"/>
                <w:lang w:val="en"/>
              </w:rPr>
              <w:t xml:space="preserve">of disaster risk </w:t>
            </w:r>
            <w:r w:rsidR="00B15669" w:rsidRPr="00B15669">
              <w:rPr>
                <w:rFonts w:ascii="Calibri" w:hAnsi="Calibri"/>
                <w:sz w:val="20"/>
                <w:szCs w:val="20"/>
                <w:lang w:val="en"/>
              </w:rPr>
              <w:t xml:space="preserve">by </w:t>
            </w:r>
            <w:r w:rsidR="008E22C9">
              <w:rPr>
                <w:rFonts w:ascii="Calibri" w:hAnsi="Calibri"/>
                <w:sz w:val="20"/>
                <w:szCs w:val="20"/>
                <w:lang w:val="en"/>
              </w:rPr>
              <w:t xml:space="preserve">some </w:t>
            </w:r>
            <w:r w:rsidR="00B15669" w:rsidRPr="00B15669">
              <w:rPr>
                <w:rFonts w:ascii="Calibri" w:hAnsi="Calibri"/>
                <w:sz w:val="20"/>
                <w:szCs w:val="20"/>
                <w:lang w:val="en"/>
              </w:rPr>
              <w:t xml:space="preserve">government and donors </w:t>
            </w:r>
            <w:r w:rsidR="008E22C9">
              <w:rPr>
                <w:rFonts w:ascii="Calibri" w:hAnsi="Calibri"/>
                <w:sz w:val="20"/>
                <w:szCs w:val="20"/>
                <w:lang w:val="en"/>
              </w:rPr>
              <w:t>is common</w:t>
            </w:r>
            <w:r w:rsidR="00B15669">
              <w:rPr>
                <w:rFonts w:ascii="Calibri" w:hAnsi="Calibri"/>
                <w:sz w:val="20"/>
                <w:szCs w:val="20"/>
                <w:lang w:val="en"/>
              </w:rPr>
              <w:t xml:space="preserve">, with </w:t>
            </w:r>
            <w:r w:rsidR="00B15669" w:rsidRPr="00B15669">
              <w:rPr>
                <w:rFonts w:ascii="Calibri" w:hAnsi="Calibri"/>
                <w:sz w:val="20"/>
                <w:szCs w:val="20"/>
                <w:lang w:val="en"/>
              </w:rPr>
              <w:t>investment decisions guided by political</w:t>
            </w:r>
            <w:r w:rsidR="00B15669">
              <w:rPr>
                <w:rFonts w:ascii="Calibri" w:hAnsi="Calibri"/>
                <w:sz w:val="20"/>
                <w:szCs w:val="20"/>
                <w:lang w:val="en"/>
              </w:rPr>
              <w:t xml:space="preserve"> factors and short term perspectives (</w:t>
            </w:r>
            <w:r w:rsidR="008E22C9">
              <w:rPr>
                <w:rFonts w:ascii="Calibri" w:hAnsi="Calibri"/>
                <w:sz w:val="20"/>
                <w:szCs w:val="20"/>
                <w:lang w:val="en"/>
              </w:rPr>
              <w:t>i.e. the promotion of</w:t>
            </w:r>
            <w:r w:rsidR="00B15669">
              <w:rPr>
                <w:rFonts w:ascii="Calibri" w:hAnsi="Calibri"/>
                <w:sz w:val="20"/>
                <w:szCs w:val="20"/>
                <w:lang w:val="en"/>
              </w:rPr>
              <w:t xml:space="preserve"> growth and employment) r</w:t>
            </w:r>
            <w:r w:rsidR="00B15669" w:rsidRPr="00B15669">
              <w:rPr>
                <w:rFonts w:ascii="Calibri" w:hAnsi="Calibri"/>
                <w:sz w:val="20"/>
                <w:szCs w:val="20"/>
                <w:lang w:val="en"/>
              </w:rPr>
              <w:t>ather than</w:t>
            </w:r>
            <w:r w:rsidR="008E22C9">
              <w:rPr>
                <w:rFonts w:ascii="Calibri" w:hAnsi="Calibri"/>
                <w:sz w:val="20"/>
                <w:szCs w:val="20"/>
                <w:lang w:val="en"/>
              </w:rPr>
              <w:t xml:space="preserve"> technical decisions (Aysan and Lavell, 2014</w:t>
            </w:r>
            <w:r w:rsidR="00B15669" w:rsidRPr="00B15669">
              <w:rPr>
                <w:rFonts w:ascii="Calibri" w:hAnsi="Calibri"/>
                <w:sz w:val="20"/>
                <w:szCs w:val="20"/>
                <w:lang w:val="en"/>
              </w:rPr>
              <w:t>).</w:t>
            </w:r>
            <w:r w:rsidR="00B15669">
              <w:rPr>
                <w:rFonts w:ascii="Calibri" w:hAnsi="Calibri"/>
                <w:lang w:val="en"/>
              </w:rPr>
              <w:t xml:space="preserve">  </w:t>
            </w:r>
            <w:r w:rsidR="001737BF" w:rsidRPr="0064632B">
              <w:rPr>
                <w:rFonts w:ascii="Calibri" w:hAnsi="Calibri"/>
                <w:sz w:val="20"/>
                <w:szCs w:val="20"/>
                <w:lang w:val="en"/>
              </w:rPr>
              <w:t xml:space="preserve">Evidence suggests that government staff feel limited ownership, with issues being mainstreamed originating from “outside” development partners </w:t>
            </w:r>
            <w:r w:rsidR="00B15669" w:rsidRPr="0064632B">
              <w:rPr>
                <w:sz w:val="20"/>
                <w:szCs w:val="20"/>
              </w:rPr>
              <w:t>(IIED, 2013)</w:t>
            </w:r>
            <w:r w:rsidR="001737BF" w:rsidRPr="0064632B">
              <w:rPr>
                <w:sz w:val="20"/>
                <w:szCs w:val="20"/>
              </w:rPr>
              <w:t>.</w:t>
            </w:r>
            <w:r w:rsidR="00B15669" w:rsidRPr="001A2F5B">
              <w:rPr>
                <w:i/>
                <w:sz w:val="20"/>
                <w:szCs w:val="20"/>
              </w:rPr>
              <w:t xml:space="preserve"> </w:t>
            </w:r>
            <w:r w:rsidR="00B15669" w:rsidRPr="001A2F5B">
              <w:rPr>
                <w:sz w:val="20"/>
                <w:szCs w:val="20"/>
              </w:rPr>
              <w:t xml:space="preserve"> </w:t>
            </w:r>
            <w:r w:rsidR="00FE5B72" w:rsidRPr="00CF0064">
              <w:rPr>
                <w:rFonts w:ascii="Calibri" w:hAnsi="Calibri"/>
                <w:sz w:val="20"/>
                <w:szCs w:val="20"/>
                <w:lang w:val="en"/>
              </w:rPr>
              <w:t xml:space="preserve">Even where officials are aware of the risks, they </w:t>
            </w:r>
            <w:r w:rsidR="00D96A87">
              <w:rPr>
                <w:rFonts w:ascii="Calibri" w:hAnsi="Calibri"/>
                <w:sz w:val="20"/>
                <w:szCs w:val="20"/>
                <w:lang w:val="en"/>
              </w:rPr>
              <w:t>have</w:t>
            </w:r>
            <w:r w:rsidR="00FE5B72" w:rsidRPr="00CF0064">
              <w:rPr>
                <w:rFonts w:ascii="Calibri" w:hAnsi="Calibri"/>
                <w:sz w:val="20"/>
                <w:szCs w:val="20"/>
                <w:lang w:val="en"/>
              </w:rPr>
              <w:t xml:space="preserve"> not accept</w:t>
            </w:r>
            <w:r w:rsidR="00D96A87">
              <w:rPr>
                <w:rFonts w:ascii="Calibri" w:hAnsi="Calibri"/>
                <w:sz w:val="20"/>
                <w:szCs w:val="20"/>
                <w:lang w:val="en"/>
              </w:rPr>
              <w:t>ed</w:t>
            </w:r>
            <w:r w:rsidR="00FE5B72" w:rsidRPr="00CF0064">
              <w:rPr>
                <w:rFonts w:ascii="Calibri" w:hAnsi="Calibri"/>
                <w:sz w:val="20"/>
                <w:szCs w:val="20"/>
                <w:lang w:val="en"/>
              </w:rPr>
              <w:t xml:space="preserve"> responsibility to reduce them; given their own agendas and priorities</w:t>
            </w:r>
            <w:r w:rsidR="00D96A87">
              <w:rPr>
                <w:rFonts w:ascii="Calibri" w:hAnsi="Calibri"/>
                <w:sz w:val="20"/>
                <w:szCs w:val="20"/>
                <w:lang w:val="en"/>
              </w:rPr>
              <w:t xml:space="preserve"> (UNDP 2010)</w:t>
            </w:r>
            <w:r w:rsidR="00FE5B72" w:rsidRPr="00CF0064">
              <w:rPr>
                <w:rFonts w:ascii="Calibri" w:hAnsi="Calibri"/>
                <w:sz w:val="20"/>
                <w:szCs w:val="20"/>
                <w:lang w:val="en"/>
              </w:rPr>
              <w:t>.</w:t>
            </w:r>
            <w:r w:rsidR="00FE5B72">
              <w:rPr>
                <w:rFonts w:ascii="Calibri" w:hAnsi="Calibri"/>
                <w:b/>
                <w:sz w:val="20"/>
                <w:szCs w:val="20"/>
                <w:lang w:val="en"/>
              </w:rPr>
              <w:t xml:space="preserve">  </w:t>
            </w:r>
          </w:p>
          <w:p w14:paraId="3D8444C0" w14:textId="67187473" w:rsidR="0075450C" w:rsidRDefault="0075450C" w:rsidP="001A2F5B">
            <w:pPr>
              <w:jc w:val="both"/>
              <w:rPr>
                <w:sz w:val="20"/>
                <w:szCs w:val="20"/>
              </w:rPr>
            </w:pPr>
          </w:p>
          <w:p w14:paraId="0C5CBC1E" w14:textId="0E8DCB52" w:rsidR="0075450C" w:rsidRPr="00EB6DDA" w:rsidRDefault="0075450C" w:rsidP="0075450C">
            <w:pPr>
              <w:jc w:val="both"/>
              <w:rPr>
                <w:rFonts w:ascii="Calibri" w:hAnsi="Calibri"/>
                <w:b/>
                <w:sz w:val="20"/>
                <w:szCs w:val="20"/>
                <w:lang w:val="en"/>
              </w:rPr>
            </w:pPr>
            <w:r w:rsidRPr="00EB6DDA">
              <w:rPr>
                <w:rFonts w:ascii="Calibri" w:hAnsi="Calibri"/>
                <w:b/>
                <w:sz w:val="20"/>
                <w:szCs w:val="20"/>
                <w:lang w:val="en"/>
              </w:rPr>
              <w:t>Capacity development.</w:t>
            </w:r>
            <w:r w:rsidRPr="00EB6DDA">
              <w:rPr>
                <w:rFonts w:ascii="Calibri" w:hAnsi="Calibri"/>
                <w:sz w:val="20"/>
                <w:szCs w:val="20"/>
                <w:lang w:val="en"/>
              </w:rPr>
              <w:t xml:space="preserve"> </w:t>
            </w:r>
            <w:r>
              <w:rPr>
                <w:rFonts w:ascii="Calibri" w:hAnsi="Calibri"/>
                <w:sz w:val="20"/>
                <w:szCs w:val="20"/>
                <w:lang w:val="en"/>
              </w:rPr>
              <w:t>A</w:t>
            </w:r>
            <w:r w:rsidRPr="00EB6DDA">
              <w:rPr>
                <w:rFonts w:ascii="Calibri" w:hAnsi="Calibri"/>
                <w:sz w:val="20"/>
                <w:szCs w:val="20"/>
                <w:lang w:val="en"/>
              </w:rPr>
              <w:t xml:space="preserve"> lack of personnel, expertise and capacity to operationalise mainstreaming has also been a problem</w:t>
            </w:r>
            <w:r>
              <w:rPr>
                <w:rFonts w:ascii="Calibri" w:hAnsi="Calibri"/>
                <w:sz w:val="20"/>
                <w:szCs w:val="20"/>
                <w:lang w:val="en"/>
              </w:rPr>
              <w:t xml:space="preserve"> at </w:t>
            </w:r>
            <w:r w:rsidR="0064632B">
              <w:rPr>
                <w:rFonts w:ascii="Calibri" w:hAnsi="Calibri"/>
                <w:sz w:val="20"/>
                <w:szCs w:val="20"/>
                <w:lang w:val="en"/>
              </w:rPr>
              <w:t>all levels</w:t>
            </w:r>
            <w:r w:rsidRPr="00EB6DDA">
              <w:rPr>
                <w:rFonts w:ascii="Calibri" w:hAnsi="Calibri"/>
                <w:sz w:val="20"/>
                <w:szCs w:val="20"/>
                <w:lang w:val="en"/>
              </w:rPr>
              <w:t xml:space="preserve"> (UNDP, 2010)</w:t>
            </w:r>
            <w:r>
              <w:rPr>
                <w:rFonts w:ascii="Calibri" w:hAnsi="Calibri"/>
                <w:sz w:val="20"/>
                <w:szCs w:val="20"/>
                <w:lang w:val="en"/>
              </w:rPr>
              <w:t>.</w:t>
            </w:r>
            <w:r w:rsidRPr="00EB6DDA">
              <w:rPr>
                <w:rFonts w:ascii="Calibri" w:hAnsi="Calibri"/>
                <w:sz w:val="20"/>
                <w:szCs w:val="20"/>
                <w:lang w:val="en"/>
              </w:rPr>
              <w:t xml:space="preserve"> Often DRR is successfully integrated into policies, but these are not translated into practice because stakeholders lack the technical knowledge and skills to change their working practice. </w:t>
            </w:r>
          </w:p>
          <w:p w14:paraId="23D473E3" w14:textId="77777777" w:rsidR="0075450C" w:rsidRPr="001A2F5B" w:rsidRDefault="0075450C" w:rsidP="001A2F5B">
            <w:pPr>
              <w:jc w:val="both"/>
              <w:rPr>
                <w:rFonts w:ascii="Calibri" w:hAnsi="Calibri"/>
                <w:sz w:val="20"/>
                <w:szCs w:val="20"/>
                <w:lang w:val="en"/>
              </w:rPr>
            </w:pPr>
          </w:p>
          <w:p w14:paraId="118D8F82" w14:textId="63CC3266" w:rsidR="001A2F5B" w:rsidRPr="00C12349" w:rsidRDefault="00B17900" w:rsidP="001A2F5B">
            <w:pPr>
              <w:jc w:val="both"/>
              <w:rPr>
                <w:rFonts w:ascii="Calibri" w:hAnsi="Calibri"/>
                <w:sz w:val="20"/>
                <w:szCs w:val="20"/>
                <w:lang w:val="en"/>
              </w:rPr>
            </w:pPr>
            <w:r>
              <w:rPr>
                <w:rFonts w:ascii="Calibri" w:hAnsi="Calibri"/>
                <w:b/>
                <w:sz w:val="20"/>
                <w:szCs w:val="20"/>
                <w:lang w:val="en"/>
              </w:rPr>
              <w:t>Institutional barriers including</w:t>
            </w:r>
            <w:r w:rsidR="003E6420">
              <w:rPr>
                <w:rFonts w:ascii="Calibri" w:hAnsi="Calibri"/>
                <w:b/>
                <w:sz w:val="20"/>
                <w:szCs w:val="20"/>
                <w:lang w:val="en"/>
              </w:rPr>
              <w:t xml:space="preserve"> coordination</w:t>
            </w:r>
            <w:r w:rsidR="00CF0064">
              <w:rPr>
                <w:rFonts w:ascii="Calibri" w:hAnsi="Calibri"/>
                <w:b/>
                <w:sz w:val="20"/>
                <w:szCs w:val="20"/>
                <w:lang w:val="en"/>
              </w:rPr>
              <w:t>.</w:t>
            </w:r>
            <w:r w:rsidR="001A2F5B" w:rsidRPr="001A2F5B">
              <w:rPr>
                <w:rFonts w:ascii="Calibri" w:hAnsi="Calibri"/>
                <w:b/>
                <w:sz w:val="20"/>
                <w:szCs w:val="20"/>
                <w:lang w:val="en"/>
              </w:rPr>
              <w:t xml:space="preserve">  </w:t>
            </w:r>
            <w:r w:rsidR="00CF0064" w:rsidRPr="00CF0064">
              <w:rPr>
                <w:rFonts w:ascii="Calibri" w:hAnsi="Calibri"/>
                <w:sz w:val="20"/>
                <w:szCs w:val="20"/>
                <w:lang w:val="en"/>
              </w:rPr>
              <w:t xml:space="preserve">A </w:t>
            </w:r>
            <w:r w:rsidR="003E6420" w:rsidRPr="001A2F5B">
              <w:rPr>
                <w:rFonts w:ascii="Calibri" w:hAnsi="Calibri"/>
                <w:sz w:val="20"/>
                <w:szCs w:val="20"/>
                <w:lang w:val="en"/>
              </w:rPr>
              <w:t>reluctance</w:t>
            </w:r>
            <w:r w:rsidR="001A2F5B" w:rsidRPr="001A2F5B">
              <w:rPr>
                <w:rFonts w:ascii="Calibri" w:hAnsi="Calibri"/>
                <w:sz w:val="20"/>
                <w:szCs w:val="20"/>
                <w:lang w:val="en"/>
              </w:rPr>
              <w:t xml:space="preserve"> of</w:t>
            </w:r>
            <w:r w:rsidR="00BB4E3E">
              <w:rPr>
                <w:rFonts w:ascii="Calibri" w:hAnsi="Calibri"/>
                <w:sz w:val="20"/>
                <w:szCs w:val="20"/>
                <w:lang w:val="en"/>
              </w:rPr>
              <w:t xml:space="preserve"> national</w:t>
            </w:r>
            <w:r w:rsidR="001A2F5B" w:rsidRPr="001A2F5B">
              <w:rPr>
                <w:rFonts w:ascii="Calibri" w:hAnsi="Calibri"/>
                <w:sz w:val="20"/>
                <w:szCs w:val="20"/>
                <w:lang w:val="en"/>
              </w:rPr>
              <w:t xml:space="preserve"> DRM lead agencies to “relinquish power and </w:t>
            </w:r>
            <w:r w:rsidR="003E6420" w:rsidRPr="001A2F5B">
              <w:rPr>
                <w:rFonts w:ascii="Calibri" w:hAnsi="Calibri"/>
                <w:sz w:val="20"/>
                <w:szCs w:val="20"/>
                <w:lang w:val="en"/>
              </w:rPr>
              <w:t>resources</w:t>
            </w:r>
            <w:r w:rsidR="001A2F5B" w:rsidRPr="001A2F5B">
              <w:rPr>
                <w:rFonts w:ascii="Calibri" w:hAnsi="Calibri"/>
                <w:sz w:val="20"/>
                <w:szCs w:val="20"/>
                <w:lang w:val="en"/>
              </w:rPr>
              <w:t xml:space="preserve">” has constrained </w:t>
            </w:r>
            <w:r w:rsidR="003E6420" w:rsidRPr="001A2F5B">
              <w:rPr>
                <w:rFonts w:ascii="Calibri" w:hAnsi="Calibri"/>
                <w:sz w:val="20"/>
                <w:szCs w:val="20"/>
                <w:lang w:val="en"/>
              </w:rPr>
              <w:t>institutional</w:t>
            </w:r>
            <w:r w:rsidR="001A2F5B" w:rsidRPr="001A2F5B">
              <w:rPr>
                <w:rFonts w:ascii="Calibri" w:hAnsi="Calibri"/>
                <w:sz w:val="20"/>
                <w:szCs w:val="20"/>
                <w:lang w:val="en"/>
              </w:rPr>
              <w:t xml:space="preserve"> and organisational change in many countries (Aysan and Lavell, 2014</w:t>
            </w:r>
            <w:r w:rsidR="0064632B">
              <w:rPr>
                <w:rFonts w:ascii="Calibri" w:hAnsi="Calibri"/>
                <w:sz w:val="20"/>
                <w:szCs w:val="20"/>
                <w:lang w:val="en"/>
              </w:rPr>
              <w:t>)</w:t>
            </w:r>
            <w:r w:rsidR="00E0326E">
              <w:rPr>
                <w:rFonts w:ascii="Calibri" w:hAnsi="Calibri"/>
                <w:sz w:val="20"/>
                <w:szCs w:val="20"/>
                <w:lang w:val="en"/>
              </w:rPr>
              <w:t xml:space="preserve">.  Further, </w:t>
            </w:r>
            <w:r w:rsidR="00CF0064">
              <w:rPr>
                <w:rFonts w:ascii="Calibri" w:hAnsi="Calibri"/>
                <w:sz w:val="20"/>
                <w:szCs w:val="20"/>
                <w:lang w:val="en"/>
              </w:rPr>
              <w:t xml:space="preserve">many practitioners are working </w:t>
            </w:r>
            <w:r w:rsidR="004E74FA">
              <w:rPr>
                <w:rFonts w:ascii="Calibri" w:hAnsi="Calibri"/>
                <w:sz w:val="20"/>
                <w:szCs w:val="20"/>
                <w:lang w:val="en"/>
              </w:rPr>
              <w:t>in silos on</w:t>
            </w:r>
            <w:r w:rsidR="00CF0064">
              <w:rPr>
                <w:rFonts w:ascii="Calibri" w:hAnsi="Calibri"/>
                <w:sz w:val="20"/>
                <w:szCs w:val="20"/>
                <w:lang w:val="en"/>
              </w:rPr>
              <w:t xml:space="preserve"> separate sector activities for DRR</w:t>
            </w:r>
            <w:r w:rsidR="0064632B">
              <w:rPr>
                <w:rFonts w:ascii="Calibri" w:hAnsi="Calibri"/>
                <w:sz w:val="20"/>
                <w:szCs w:val="20"/>
                <w:lang w:val="en"/>
              </w:rPr>
              <w:t xml:space="preserve"> and CCA with</w:t>
            </w:r>
            <w:r w:rsidR="00CF0064">
              <w:rPr>
                <w:rFonts w:ascii="Calibri" w:hAnsi="Calibri"/>
                <w:sz w:val="20"/>
                <w:szCs w:val="20"/>
                <w:lang w:val="en"/>
              </w:rPr>
              <w:t xml:space="preserve"> limited means for coordination. </w:t>
            </w:r>
            <w:r w:rsidR="008E22C9" w:rsidRPr="00C12349">
              <w:rPr>
                <w:rFonts w:ascii="Calibri" w:hAnsi="Calibri"/>
                <w:sz w:val="20"/>
                <w:szCs w:val="20"/>
                <w:lang w:val="en"/>
              </w:rPr>
              <w:t>The 2009 Global Assessment Report concluded that: “</w:t>
            </w:r>
            <w:r w:rsidR="008E22C9" w:rsidRPr="00C12349">
              <w:rPr>
                <w:rFonts w:ascii="Calibri" w:hAnsi="Calibri"/>
                <w:i/>
                <w:sz w:val="20"/>
                <w:szCs w:val="20"/>
                <w:lang w:val="en"/>
              </w:rPr>
              <w:t>governance arrangements for DRR in many countries do not facilitate the integration of risk considerations into development.  In general, the institutional and legislative arrangements for DRR are weakly connected to development sectors</w:t>
            </w:r>
            <w:r w:rsidR="008E22C9" w:rsidRPr="00C12349">
              <w:rPr>
                <w:rFonts w:ascii="Calibri" w:hAnsi="Calibri"/>
                <w:sz w:val="20"/>
                <w:szCs w:val="20"/>
                <w:lang w:val="en"/>
              </w:rPr>
              <w:t>.”</w:t>
            </w:r>
            <w:r w:rsidR="00EB6DDA">
              <w:rPr>
                <w:rFonts w:ascii="Calibri" w:hAnsi="Calibri"/>
                <w:sz w:val="20"/>
                <w:szCs w:val="20"/>
                <w:lang w:val="en"/>
              </w:rPr>
              <w:t xml:space="preserve"> </w:t>
            </w:r>
          </w:p>
          <w:p w14:paraId="06183071" w14:textId="10EAAEC6" w:rsidR="00FE5B72" w:rsidRDefault="00FE5B72" w:rsidP="001A2F5B">
            <w:pPr>
              <w:jc w:val="both"/>
              <w:rPr>
                <w:rFonts w:ascii="Calibri" w:hAnsi="Calibri"/>
                <w:lang w:val="en"/>
              </w:rPr>
            </w:pPr>
          </w:p>
          <w:p w14:paraId="6830F91A" w14:textId="1923D810" w:rsidR="001A2F5B" w:rsidRPr="0064632B" w:rsidRDefault="00755E13" w:rsidP="0064632B">
            <w:pPr>
              <w:jc w:val="both"/>
              <w:rPr>
                <w:rFonts w:ascii="Calibri" w:hAnsi="Calibri"/>
                <w:sz w:val="20"/>
                <w:szCs w:val="20"/>
                <w:lang w:val="en"/>
              </w:rPr>
            </w:pPr>
            <w:r>
              <w:rPr>
                <w:b/>
                <w:sz w:val="20"/>
                <w:szCs w:val="20"/>
              </w:rPr>
              <w:t>Financial constraints</w:t>
            </w:r>
            <w:r w:rsidR="00FE5B72" w:rsidRPr="001A2F5B">
              <w:rPr>
                <w:b/>
                <w:sz w:val="20"/>
                <w:szCs w:val="20"/>
              </w:rPr>
              <w:t xml:space="preserve">.  </w:t>
            </w:r>
            <w:r w:rsidR="000D1DF2">
              <w:rPr>
                <w:sz w:val="20"/>
                <w:szCs w:val="20"/>
              </w:rPr>
              <w:t>In national HFA reports, f</w:t>
            </w:r>
            <w:r w:rsidR="00FE5B72">
              <w:rPr>
                <w:sz w:val="20"/>
                <w:szCs w:val="20"/>
              </w:rPr>
              <w:t xml:space="preserve">inancial constraints </w:t>
            </w:r>
            <w:r w:rsidR="000D1DF2">
              <w:rPr>
                <w:sz w:val="20"/>
                <w:szCs w:val="20"/>
              </w:rPr>
              <w:t>were identified by governments as the main</w:t>
            </w:r>
            <w:r w:rsidR="00FE5B72">
              <w:rPr>
                <w:sz w:val="20"/>
                <w:szCs w:val="20"/>
              </w:rPr>
              <w:t xml:space="preserve"> barrier to mainstreaming</w:t>
            </w:r>
            <w:r w:rsidR="00EB6DDA">
              <w:rPr>
                <w:sz w:val="20"/>
                <w:szCs w:val="20"/>
              </w:rPr>
              <w:t xml:space="preserve"> and the lack of progress with reducing underlying risks nationally or locally (Aysan</w:t>
            </w:r>
            <w:r w:rsidR="00847B8E">
              <w:rPr>
                <w:sz w:val="20"/>
                <w:szCs w:val="20"/>
              </w:rPr>
              <w:t xml:space="preserve"> &amp;Lavell</w:t>
            </w:r>
            <w:r w:rsidR="00EB6DDA">
              <w:rPr>
                <w:sz w:val="20"/>
                <w:szCs w:val="20"/>
              </w:rPr>
              <w:t>, 2014)</w:t>
            </w:r>
            <w:r w:rsidR="00FE5B72">
              <w:rPr>
                <w:sz w:val="20"/>
                <w:szCs w:val="20"/>
              </w:rPr>
              <w:t>.  DRR</w:t>
            </w:r>
            <w:r w:rsidR="0064632B">
              <w:rPr>
                <w:sz w:val="20"/>
                <w:szCs w:val="20"/>
              </w:rPr>
              <w:t xml:space="preserve"> and CCA have</w:t>
            </w:r>
            <w:r w:rsidR="004E74FA">
              <w:rPr>
                <w:sz w:val="20"/>
                <w:szCs w:val="20"/>
              </w:rPr>
              <w:t xml:space="preserve"> not always been</w:t>
            </w:r>
            <w:r w:rsidR="00FE5B72">
              <w:rPr>
                <w:sz w:val="20"/>
                <w:szCs w:val="20"/>
              </w:rPr>
              <w:t xml:space="preserve"> seen as a priority against other pressing concerns in resource scarce countries. </w:t>
            </w:r>
          </w:p>
        </w:tc>
      </w:tr>
    </w:tbl>
    <w:p w14:paraId="1BBFEE0A" w14:textId="2200560F" w:rsidR="00D45C81" w:rsidRDefault="00BD3BD4" w:rsidP="00D45C81">
      <w:pPr>
        <w:jc w:val="both"/>
        <w:rPr>
          <w:rFonts w:ascii="Calibri" w:hAnsi="Calibri"/>
          <w:lang w:val="en"/>
        </w:rPr>
      </w:pPr>
      <w:r>
        <w:rPr>
          <w:rFonts w:ascii="Calibri" w:hAnsi="Calibri"/>
          <w:b/>
          <w:lang w:val="en"/>
        </w:rPr>
        <w:t xml:space="preserve">A review of mainstreaming challenges, suggests that the focus needs to move from outputs towards action and implementation. </w:t>
      </w:r>
      <w:r w:rsidRPr="0018371C">
        <w:rPr>
          <w:rFonts w:ascii="Calibri" w:hAnsi="Calibri"/>
          <w:lang w:val="en"/>
        </w:rPr>
        <w:t xml:space="preserve">There has been widespread </w:t>
      </w:r>
      <w:r>
        <w:rPr>
          <w:rFonts w:ascii="Calibri" w:hAnsi="Calibri"/>
          <w:lang w:val="en"/>
        </w:rPr>
        <w:t xml:space="preserve">success </w:t>
      </w:r>
      <w:r w:rsidRPr="0018371C">
        <w:rPr>
          <w:rFonts w:ascii="Calibri" w:hAnsi="Calibri"/>
          <w:lang w:val="en"/>
        </w:rPr>
        <w:t>adopting national policies</w:t>
      </w:r>
      <w:r>
        <w:rPr>
          <w:rFonts w:ascii="Calibri" w:hAnsi="Calibri"/>
          <w:lang w:val="en"/>
        </w:rPr>
        <w:t>,</w:t>
      </w:r>
      <w:r w:rsidRPr="0018371C">
        <w:rPr>
          <w:rFonts w:ascii="Calibri" w:hAnsi="Calibri"/>
          <w:lang w:val="en"/>
        </w:rPr>
        <w:t xml:space="preserve"> </w:t>
      </w:r>
      <w:r>
        <w:rPr>
          <w:rFonts w:ascii="Calibri" w:hAnsi="Calibri"/>
          <w:lang w:val="en"/>
        </w:rPr>
        <w:t>laws, regulations</w:t>
      </w:r>
      <w:r w:rsidRPr="0018371C">
        <w:rPr>
          <w:rFonts w:ascii="Calibri" w:hAnsi="Calibri"/>
          <w:lang w:val="en"/>
        </w:rPr>
        <w:t xml:space="preserve"> </w:t>
      </w:r>
      <w:r>
        <w:rPr>
          <w:rFonts w:ascii="Calibri" w:hAnsi="Calibri"/>
          <w:lang w:val="en"/>
        </w:rPr>
        <w:t xml:space="preserve">and plans (i.e. governance related outputs) </w:t>
      </w:r>
      <w:r w:rsidR="006A441C">
        <w:rPr>
          <w:rFonts w:ascii="Calibri" w:hAnsi="Calibri"/>
          <w:lang w:val="en"/>
        </w:rPr>
        <w:t>but limited attention on</w:t>
      </w:r>
      <w:r w:rsidRPr="0018371C">
        <w:rPr>
          <w:rFonts w:ascii="Calibri" w:hAnsi="Calibri"/>
          <w:lang w:val="en"/>
        </w:rPr>
        <w:t xml:space="preserve"> the processes that generate them and put them into action (UNDP, 2015).  </w:t>
      </w:r>
      <w:r w:rsidR="00D45C81" w:rsidRPr="0018371C">
        <w:rPr>
          <w:rFonts w:ascii="Calibri" w:hAnsi="Calibri"/>
          <w:lang w:val="en"/>
        </w:rPr>
        <w:t xml:space="preserve">In other words, the transformation of outputs </w:t>
      </w:r>
      <w:r>
        <w:rPr>
          <w:rFonts w:ascii="Calibri" w:hAnsi="Calibri"/>
          <w:lang w:val="en"/>
        </w:rPr>
        <w:t xml:space="preserve">or commitments </w:t>
      </w:r>
      <w:r w:rsidR="00D45C81" w:rsidRPr="0018371C">
        <w:rPr>
          <w:rFonts w:ascii="Calibri" w:hAnsi="Calibri"/>
          <w:lang w:val="en"/>
        </w:rPr>
        <w:t xml:space="preserve">into </w:t>
      </w:r>
      <w:r w:rsidR="0018371C">
        <w:rPr>
          <w:rFonts w:ascii="Calibri" w:hAnsi="Calibri"/>
          <w:lang w:val="en"/>
        </w:rPr>
        <w:t>DRR and CCA</w:t>
      </w:r>
      <w:r w:rsidR="00D45C81" w:rsidRPr="0018371C">
        <w:rPr>
          <w:rFonts w:ascii="Calibri" w:hAnsi="Calibri"/>
          <w:lang w:val="en"/>
        </w:rPr>
        <w:t xml:space="preserve"> outcomes has not always been adequately considered; “</w:t>
      </w:r>
      <w:r w:rsidR="00D45C81" w:rsidRPr="0018371C">
        <w:rPr>
          <w:rFonts w:ascii="Calibri" w:hAnsi="Calibri"/>
          <w:i/>
          <w:lang w:val="en"/>
        </w:rPr>
        <w:t>mainstreaming requires more than just developing appropriate policies and tools… a change in organisational culture is required and this needs political commitment, motivation, including financial support</w:t>
      </w:r>
      <w:r w:rsidR="00D45C81" w:rsidRPr="0018371C">
        <w:rPr>
          <w:rFonts w:ascii="Calibri" w:hAnsi="Calibri"/>
          <w:lang w:val="en"/>
        </w:rPr>
        <w:t xml:space="preserve">” (UNDP, 2010). </w:t>
      </w:r>
      <w:r>
        <w:rPr>
          <w:rFonts w:ascii="Calibri" w:hAnsi="Calibri"/>
          <w:lang w:val="en"/>
        </w:rPr>
        <w:t xml:space="preserve"> Conversely, the focus has been on </w:t>
      </w:r>
      <w:r w:rsidR="00D45C81" w:rsidRPr="0018371C">
        <w:rPr>
          <w:rFonts w:ascii="Calibri" w:hAnsi="Calibri"/>
          <w:lang w:val="en"/>
        </w:rPr>
        <w:t xml:space="preserve">separate and parallel </w:t>
      </w:r>
      <w:r>
        <w:rPr>
          <w:rFonts w:ascii="Calibri" w:hAnsi="Calibri"/>
          <w:lang w:val="en"/>
        </w:rPr>
        <w:t xml:space="preserve">policies or projects outside of </w:t>
      </w:r>
      <w:r w:rsidR="00D45C81" w:rsidRPr="0018371C">
        <w:rPr>
          <w:rFonts w:ascii="Calibri" w:hAnsi="Calibri"/>
          <w:lang w:val="en"/>
        </w:rPr>
        <w:t>mainstreaming development</w:t>
      </w:r>
      <w:r w:rsidR="00BB4E3E">
        <w:rPr>
          <w:rFonts w:ascii="Calibri" w:hAnsi="Calibri"/>
          <w:lang w:val="en"/>
        </w:rPr>
        <w:t xml:space="preserve"> policy</w:t>
      </w:r>
      <w:r w:rsidR="00D45C81" w:rsidRPr="0018371C">
        <w:rPr>
          <w:rFonts w:ascii="Calibri" w:hAnsi="Calibri"/>
          <w:lang w:val="en"/>
        </w:rPr>
        <w:t xml:space="preserve"> </w:t>
      </w:r>
      <w:r>
        <w:rPr>
          <w:rFonts w:ascii="Calibri" w:hAnsi="Calibri"/>
          <w:lang w:val="en"/>
        </w:rPr>
        <w:t xml:space="preserve">(UNDP, 2016).  What is needed, is a </w:t>
      </w:r>
      <w:r w:rsidRPr="00BD3BD4">
        <w:rPr>
          <w:rFonts w:ascii="Calibri" w:hAnsi="Calibri"/>
          <w:u w:val="single"/>
          <w:lang w:val="en"/>
        </w:rPr>
        <w:t>change in culture and behaviour</w:t>
      </w:r>
      <w:r>
        <w:rPr>
          <w:rFonts w:ascii="Calibri" w:hAnsi="Calibri"/>
          <w:lang w:val="en"/>
        </w:rPr>
        <w:t xml:space="preserve"> supported by political commitment, motivation and financial support to drive a mainstreaming process that deliver</w:t>
      </w:r>
      <w:r w:rsidR="006A441C">
        <w:rPr>
          <w:rFonts w:ascii="Calibri" w:hAnsi="Calibri"/>
          <w:lang w:val="en"/>
        </w:rPr>
        <w:t xml:space="preserve"> coordinated</w:t>
      </w:r>
      <w:r>
        <w:rPr>
          <w:rFonts w:ascii="Calibri" w:hAnsi="Calibri"/>
          <w:lang w:val="en"/>
        </w:rPr>
        <w:t xml:space="preserve"> action on the ground (UNDP, 2016). </w:t>
      </w:r>
    </w:p>
    <w:p w14:paraId="4B8C8CE1" w14:textId="31DB737F" w:rsidR="005243B7" w:rsidRPr="005243B7" w:rsidRDefault="005243B7" w:rsidP="0018371C">
      <w:pPr>
        <w:ind w:left="720"/>
        <w:jc w:val="both"/>
        <w:rPr>
          <w:rFonts w:ascii="Calibri" w:hAnsi="Calibri"/>
          <w:i/>
          <w:color w:val="ED7D31" w:themeColor="accent2"/>
          <w:lang w:val="en"/>
        </w:rPr>
      </w:pPr>
      <w:r w:rsidRPr="005243B7">
        <w:rPr>
          <w:noProof/>
          <w:color w:val="ED7D31" w:themeColor="accent2"/>
          <w:lang w:bidi="ar-SA"/>
        </w:rPr>
        <w:drawing>
          <wp:anchor distT="0" distB="0" distL="114300" distR="114300" simplePos="0" relativeHeight="251740160" behindDoc="1" locked="0" layoutInCell="1" allowOverlap="1" wp14:anchorId="2A6B07DA" wp14:editId="1B140CC2">
            <wp:simplePos x="0" y="0"/>
            <wp:positionH relativeFrom="margin">
              <wp:align>left</wp:align>
            </wp:positionH>
            <wp:positionV relativeFrom="paragraph">
              <wp:posOffset>4763</wp:posOffset>
            </wp:positionV>
            <wp:extent cx="333375" cy="333375"/>
            <wp:effectExtent l="0" t="0" r="9525" b="9525"/>
            <wp:wrapTight wrapText="bothSides">
              <wp:wrapPolygon edited="0">
                <wp:start x="0" y="0"/>
                <wp:lineTo x="0" y="20983"/>
                <wp:lineTo x="20983" y="20983"/>
                <wp:lineTo x="209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r w:rsidRPr="005243B7">
        <w:rPr>
          <w:rFonts w:ascii="Calibri" w:hAnsi="Calibri"/>
          <w:i/>
          <w:color w:val="ED7D31" w:themeColor="accent2"/>
          <w:lang w:val="en"/>
        </w:rPr>
        <w:t xml:space="preserve">Recent reviews suggest that mainstreaming </w:t>
      </w:r>
      <w:r w:rsidR="00F81F30">
        <w:rPr>
          <w:rFonts w:ascii="Calibri" w:hAnsi="Calibri"/>
          <w:i/>
          <w:color w:val="ED7D31" w:themeColor="accent2"/>
          <w:lang w:val="en"/>
        </w:rPr>
        <w:t>challenges can be overcome by focusing on action and outcomes (rather than ma</w:t>
      </w:r>
      <w:r w:rsidRPr="005243B7">
        <w:rPr>
          <w:rFonts w:ascii="Calibri" w:hAnsi="Calibri"/>
          <w:i/>
          <w:color w:val="ED7D31" w:themeColor="accent2"/>
          <w:lang w:val="en"/>
        </w:rPr>
        <w:t>instreaming outputs</w:t>
      </w:r>
      <w:r w:rsidR="00F81F30">
        <w:rPr>
          <w:rFonts w:ascii="Calibri" w:hAnsi="Calibri"/>
          <w:i/>
          <w:color w:val="ED7D31" w:themeColor="accent2"/>
          <w:lang w:val="en"/>
        </w:rPr>
        <w:t xml:space="preserve">) and this requires a shift in thinking and behaviour of </w:t>
      </w:r>
      <w:r w:rsidR="00894D94">
        <w:rPr>
          <w:rFonts w:ascii="Calibri" w:hAnsi="Calibri"/>
          <w:i/>
          <w:color w:val="ED7D31" w:themeColor="accent2"/>
          <w:lang w:val="en"/>
        </w:rPr>
        <w:t xml:space="preserve">development </w:t>
      </w:r>
      <w:r w:rsidR="00F81F30">
        <w:rPr>
          <w:rFonts w:ascii="Calibri" w:hAnsi="Calibri"/>
          <w:i/>
          <w:color w:val="ED7D31" w:themeColor="accent2"/>
          <w:lang w:val="en"/>
        </w:rPr>
        <w:t xml:space="preserve">actors at all levels. </w:t>
      </w:r>
    </w:p>
    <w:p w14:paraId="07C194E6" w14:textId="77476D43" w:rsidR="000972AC" w:rsidRDefault="0027666A" w:rsidP="000972AC">
      <w:pPr>
        <w:pStyle w:val="Heading2"/>
        <w:rPr>
          <w:lang w:val="en"/>
        </w:rPr>
      </w:pPr>
      <w:bookmarkStart w:id="11" w:name="_Toc451948688"/>
      <w:bookmarkStart w:id="12" w:name="_Toc451409688"/>
      <w:r>
        <w:rPr>
          <w:lang w:val="en"/>
        </w:rPr>
        <w:t>Mainstreaming strengthens</w:t>
      </w:r>
      <w:r w:rsidR="00F05EFD">
        <w:rPr>
          <w:lang w:val="en"/>
        </w:rPr>
        <w:t xml:space="preserve"> </w:t>
      </w:r>
      <w:r w:rsidR="006A441C">
        <w:rPr>
          <w:lang w:val="en"/>
        </w:rPr>
        <w:t>r</w:t>
      </w:r>
      <w:r w:rsidR="00D45C81">
        <w:rPr>
          <w:lang w:val="en"/>
        </w:rPr>
        <w:t xml:space="preserve">isk </w:t>
      </w:r>
      <w:r w:rsidR="006A441C">
        <w:rPr>
          <w:lang w:val="en"/>
        </w:rPr>
        <w:t>g</w:t>
      </w:r>
      <w:r w:rsidR="000972AC">
        <w:rPr>
          <w:lang w:val="en"/>
        </w:rPr>
        <w:t>overnance</w:t>
      </w:r>
      <w:bookmarkEnd w:id="11"/>
      <w:r w:rsidR="000972AC">
        <w:rPr>
          <w:lang w:val="en"/>
        </w:rPr>
        <w:t xml:space="preserve"> </w:t>
      </w:r>
      <w:bookmarkEnd w:id="12"/>
    </w:p>
    <w:p w14:paraId="43E1E020" w14:textId="77777777" w:rsidR="006A441C" w:rsidRPr="006A441C" w:rsidRDefault="006A441C" w:rsidP="006A441C">
      <w:pPr>
        <w:rPr>
          <w:lang w:val="en"/>
        </w:rPr>
      </w:pPr>
    </w:p>
    <w:p w14:paraId="5FA0FE07" w14:textId="1586D8A9" w:rsidR="0003391C" w:rsidRPr="0003391C" w:rsidRDefault="005243B7" w:rsidP="0003391C">
      <w:pPr>
        <w:jc w:val="both"/>
        <w:rPr>
          <w:rFonts w:ascii="Calibri" w:hAnsi="Calibri"/>
          <w:i/>
          <w:highlight w:val="yellow"/>
          <w:lang w:val="en"/>
        </w:rPr>
      </w:pPr>
      <w:r w:rsidRPr="0064314D">
        <w:rPr>
          <w:b/>
        </w:rPr>
        <w:t>To overcome the challenges that practitioner</w:t>
      </w:r>
      <w:r w:rsidR="0064314D">
        <w:rPr>
          <w:b/>
        </w:rPr>
        <w:t xml:space="preserve">s have been experiencing, </w:t>
      </w:r>
      <w:r w:rsidR="00894D94">
        <w:rPr>
          <w:b/>
        </w:rPr>
        <w:t>and promote behavioural change</w:t>
      </w:r>
      <w:r w:rsidR="00BB4E3E">
        <w:rPr>
          <w:b/>
        </w:rPr>
        <w:t xml:space="preserve"> and  creating an enabling environment</w:t>
      </w:r>
      <w:r w:rsidR="00894D94">
        <w:rPr>
          <w:b/>
        </w:rPr>
        <w:t>, it is necessary to address the underlying</w:t>
      </w:r>
      <w:r w:rsidR="000A55CC" w:rsidRPr="0064314D">
        <w:rPr>
          <w:b/>
        </w:rPr>
        <w:t xml:space="preserve"> governance issues linked to development decision</w:t>
      </w:r>
      <w:r w:rsidR="00F05EFD">
        <w:rPr>
          <w:b/>
        </w:rPr>
        <w:t>-</w:t>
      </w:r>
      <w:r w:rsidR="000A55CC" w:rsidRPr="0064314D">
        <w:rPr>
          <w:b/>
        </w:rPr>
        <w:t>making</w:t>
      </w:r>
      <w:r w:rsidR="0064314D">
        <w:rPr>
          <w:b/>
        </w:rPr>
        <w:t xml:space="preserve"> and implementation</w:t>
      </w:r>
      <w:r w:rsidRPr="0064314D">
        <w:t xml:space="preserve">.  </w:t>
      </w:r>
      <w:r w:rsidR="0064314D">
        <w:t>Practitioners are increasingly identifying that for effective mainstreaming, it is necessary to strengthen risk governance (UNDP</w:t>
      </w:r>
      <w:r w:rsidR="00621ADD">
        <w:t>,</w:t>
      </w:r>
      <w:r w:rsidR="0064314D">
        <w:t xml:space="preserve"> 2016).  </w:t>
      </w:r>
      <w:r w:rsidR="0027666A">
        <w:rPr>
          <w:rStyle w:val="FootnoteReference"/>
        </w:rPr>
        <w:t>“</w:t>
      </w:r>
      <w:r w:rsidR="0027666A">
        <w:rPr>
          <w:rFonts w:ascii="Calibri" w:hAnsi="Calibri"/>
          <w:i/>
          <w:lang w:val="en"/>
        </w:rPr>
        <w:t>M</w:t>
      </w:r>
      <w:r w:rsidR="0064314D">
        <w:rPr>
          <w:rFonts w:ascii="Calibri" w:hAnsi="Calibri"/>
          <w:i/>
          <w:lang w:val="en"/>
        </w:rPr>
        <w:t xml:space="preserve">ainstreaming is a governance process that provides the enabling environment for ensuring risk reduction </w:t>
      </w:r>
      <w:r w:rsidR="0018371C">
        <w:rPr>
          <w:rFonts w:ascii="Calibri" w:hAnsi="Calibri"/>
          <w:i/>
          <w:lang w:val="en"/>
        </w:rPr>
        <w:t xml:space="preserve">[and CCA] </w:t>
      </w:r>
      <w:r w:rsidR="0064314D">
        <w:rPr>
          <w:rFonts w:ascii="Calibri" w:hAnsi="Calibri"/>
          <w:i/>
          <w:lang w:val="en"/>
        </w:rPr>
        <w:t>becomes an underlying principle of sustainable development”</w:t>
      </w:r>
      <w:r w:rsidR="0064314D" w:rsidRPr="00DC0763">
        <w:rPr>
          <w:rFonts w:ascii="Calibri" w:hAnsi="Calibri"/>
          <w:lang w:val="en"/>
        </w:rPr>
        <w:t xml:space="preserve"> (UNDP, 2010).</w:t>
      </w:r>
      <w:r w:rsidR="0064314D">
        <w:rPr>
          <w:rFonts w:ascii="Calibri" w:hAnsi="Calibri"/>
          <w:i/>
          <w:lang w:val="en"/>
        </w:rPr>
        <w:t xml:space="preserve">  </w:t>
      </w:r>
      <w:r w:rsidR="0064314D">
        <w:t xml:space="preserve"> </w:t>
      </w:r>
      <w:r w:rsidR="000A55CC">
        <w:rPr>
          <w:rFonts w:ascii="Calibri" w:hAnsi="Calibri"/>
          <w:lang w:val="en"/>
        </w:rPr>
        <w:t xml:space="preserve">UNDP has made strengthening disaster risk governance (DRG) a cornerstone of its efforts to understand, reduce and manage risks for the past two decades (2015). </w:t>
      </w:r>
      <w:r>
        <w:rPr>
          <w:rFonts w:ascii="Calibri" w:hAnsi="Calibri"/>
          <w:lang w:val="en"/>
        </w:rPr>
        <w:t xml:space="preserve">For example, the Pacific Risk Resilience Programme has been working with governments in four </w:t>
      </w:r>
      <w:r w:rsidR="00FC319C">
        <w:rPr>
          <w:rFonts w:ascii="Calibri" w:hAnsi="Calibri"/>
          <w:lang w:val="en"/>
        </w:rPr>
        <w:t>countries to put in place risk governance building blocks as the foundation for</w:t>
      </w:r>
      <w:r w:rsidR="00B200A7">
        <w:rPr>
          <w:rFonts w:ascii="Calibri" w:hAnsi="Calibri"/>
          <w:lang w:val="en"/>
        </w:rPr>
        <w:t xml:space="preserve"> more</w:t>
      </w:r>
      <w:r w:rsidR="00FC319C">
        <w:rPr>
          <w:rFonts w:ascii="Calibri" w:hAnsi="Calibri"/>
          <w:lang w:val="en"/>
        </w:rPr>
        <w:t xml:space="preserve"> permanent </w:t>
      </w:r>
      <w:r w:rsidR="00B200A7">
        <w:rPr>
          <w:rFonts w:ascii="Calibri" w:hAnsi="Calibri"/>
          <w:lang w:val="en"/>
        </w:rPr>
        <w:t xml:space="preserve">and institutionalised </w:t>
      </w:r>
      <w:r w:rsidR="00FC319C">
        <w:rPr>
          <w:rFonts w:ascii="Calibri" w:hAnsi="Calibri"/>
          <w:lang w:val="en"/>
        </w:rPr>
        <w:t>mainstreaming</w:t>
      </w:r>
      <w:r w:rsidR="0018371C">
        <w:rPr>
          <w:rFonts w:ascii="Calibri" w:hAnsi="Calibri"/>
          <w:lang w:val="en"/>
        </w:rPr>
        <w:t xml:space="preserve"> </w:t>
      </w:r>
      <w:r w:rsidR="0064314D">
        <w:rPr>
          <w:rFonts w:ascii="Calibri" w:hAnsi="Calibri"/>
          <w:lang w:val="en"/>
        </w:rPr>
        <w:t>risk informed development</w:t>
      </w:r>
      <w:r w:rsidR="00FC319C">
        <w:rPr>
          <w:rFonts w:ascii="Calibri" w:hAnsi="Calibri"/>
          <w:lang w:val="en"/>
        </w:rPr>
        <w:t xml:space="preserve"> and ultimate</w:t>
      </w:r>
      <w:r w:rsidR="0064314D">
        <w:rPr>
          <w:rFonts w:ascii="Calibri" w:hAnsi="Calibri"/>
          <w:lang w:val="en"/>
        </w:rPr>
        <w:t>ly</w:t>
      </w:r>
      <w:r w:rsidR="00FC319C">
        <w:rPr>
          <w:rFonts w:ascii="Calibri" w:hAnsi="Calibri"/>
          <w:lang w:val="en"/>
        </w:rPr>
        <w:t xml:space="preserve"> resilient development</w:t>
      </w:r>
      <w:r w:rsidR="0064314D">
        <w:rPr>
          <w:rFonts w:ascii="Calibri" w:hAnsi="Calibri"/>
          <w:lang w:val="en"/>
        </w:rPr>
        <w:t xml:space="preserve"> in the Pacific</w:t>
      </w:r>
      <w:r w:rsidR="0064314D">
        <w:rPr>
          <w:rStyle w:val="FootnoteReference"/>
          <w:rFonts w:ascii="Calibri" w:hAnsi="Calibri"/>
          <w:lang w:val="en"/>
        </w:rPr>
        <w:footnoteReference w:id="2"/>
      </w:r>
      <w:r w:rsidR="00FC319C">
        <w:rPr>
          <w:rFonts w:ascii="Calibri" w:hAnsi="Calibri"/>
          <w:lang w:val="en"/>
        </w:rPr>
        <w:t xml:space="preserve">. </w:t>
      </w:r>
      <w:r w:rsidR="00894D94">
        <w:rPr>
          <w:rFonts w:ascii="Calibri" w:hAnsi="Calibri"/>
          <w:lang w:val="en"/>
        </w:rPr>
        <w:t xml:space="preserve">Similarly, </w:t>
      </w:r>
      <w:r w:rsidR="0003391C">
        <w:rPr>
          <w:rFonts w:ascii="Calibri" w:hAnsi="Calibri"/>
          <w:lang w:val="en"/>
        </w:rPr>
        <w:t xml:space="preserve">in Cuba the UNDP DRM project has </w:t>
      </w:r>
      <w:r w:rsidR="0003391C">
        <w:rPr>
          <w:rFonts w:ascii="Calibri" w:hAnsi="Calibri"/>
          <w:i/>
          <w:lang w:val="en"/>
        </w:rPr>
        <w:t xml:space="preserve">been </w:t>
      </w:r>
      <w:r w:rsidR="0003391C" w:rsidRPr="0003391C">
        <w:rPr>
          <w:rFonts w:ascii="Calibri" w:hAnsi="Calibri"/>
          <w:lang w:val="en"/>
        </w:rPr>
        <w:t>working with the government to</w:t>
      </w:r>
      <w:r w:rsidR="0003391C">
        <w:rPr>
          <w:rFonts w:ascii="Calibri" w:hAnsi="Calibri"/>
          <w:lang w:val="en"/>
        </w:rPr>
        <w:t xml:space="preserve"> strengthen risk governance at the sub-national level by</w:t>
      </w:r>
      <w:r w:rsidR="0003391C" w:rsidRPr="0003391C">
        <w:rPr>
          <w:rFonts w:ascii="Calibri" w:hAnsi="Calibri"/>
          <w:lang w:val="en"/>
        </w:rPr>
        <w:t xml:space="preserve"> </w:t>
      </w:r>
      <w:r w:rsidR="0003391C">
        <w:t xml:space="preserve">decentralizing DRM and supporting municipalities to integrate DRR into the investment planning process. Every public entity in Cuba is now legally obliged to include actions to reduce risk in its economic planning </w:t>
      </w:r>
      <w:r w:rsidR="0003391C" w:rsidRPr="0003391C">
        <w:rPr>
          <w:rFonts w:ascii="Calibri" w:hAnsi="Calibri"/>
          <w:i/>
          <w:highlight w:val="yellow"/>
          <w:lang w:val="en"/>
        </w:rPr>
        <w:t xml:space="preserve">[possibility to insert </w:t>
      </w:r>
      <w:r w:rsidR="0003391C" w:rsidRPr="00894D94">
        <w:rPr>
          <w:rFonts w:ascii="Calibri" w:hAnsi="Calibri"/>
          <w:i/>
          <w:highlight w:val="yellow"/>
          <w:lang w:val="en"/>
        </w:rPr>
        <w:t>other example</w:t>
      </w:r>
      <w:r w:rsidR="0003391C">
        <w:rPr>
          <w:rFonts w:ascii="Calibri" w:hAnsi="Calibri"/>
          <w:i/>
          <w:highlight w:val="yellow"/>
          <w:lang w:val="en"/>
        </w:rPr>
        <w:t>s – any suggestions</w:t>
      </w:r>
      <w:r w:rsidR="0003391C" w:rsidRPr="00894D94">
        <w:rPr>
          <w:rFonts w:ascii="Calibri" w:hAnsi="Calibri"/>
          <w:i/>
          <w:highlight w:val="yellow"/>
          <w:lang w:val="en"/>
        </w:rPr>
        <w:t>?</w:t>
      </w:r>
      <w:r w:rsidR="0003391C" w:rsidRPr="0003391C">
        <w:rPr>
          <w:rFonts w:ascii="Calibri" w:hAnsi="Calibri"/>
          <w:i/>
          <w:highlight w:val="yellow"/>
          <w:lang w:val="en"/>
        </w:rPr>
        <w:t>]</w:t>
      </w:r>
    </w:p>
    <w:p w14:paraId="03BEB5CC" w14:textId="3CA8D68F" w:rsidR="000A55CC" w:rsidRDefault="000A55CC" w:rsidP="000A55CC">
      <w:pPr>
        <w:jc w:val="both"/>
        <w:rPr>
          <w:rFonts w:ascii="Calibri" w:hAnsi="Calibri"/>
          <w:lang w:val="en"/>
        </w:rPr>
      </w:pPr>
    </w:p>
    <w:p w14:paraId="4650F4FA" w14:textId="11D8A291" w:rsidR="000A55CC" w:rsidRPr="00B7739F" w:rsidRDefault="00B200A7" w:rsidP="000A55CC">
      <w:pPr>
        <w:jc w:val="both"/>
        <w:rPr>
          <w:rFonts w:ascii="Calibri" w:hAnsi="Calibri"/>
          <w:i/>
          <w:lang w:val="en"/>
        </w:rPr>
      </w:pPr>
      <w:r>
        <w:rPr>
          <w:rFonts w:ascii="Calibri" w:hAnsi="Calibri"/>
          <w:b/>
          <w:lang w:val="en"/>
        </w:rPr>
        <w:t xml:space="preserve">A mainstreaming approach that strengthens the core components of risk governance (e.g. </w:t>
      </w:r>
      <w:r w:rsidR="00CC000F">
        <w:rPr>
          <w:rFonts w:ascii="Calibri" w:hAnsi="Calibri"/>
          <w:b/>
          <w:lang w:val="en"/>
        </w:rPr>
        <w:t>institutions and stakeholders</w:t>
      </w:r>
      <w:r>
        <w:rPr>
          <w:rFonts w:ascii="Calibri" w:hAnsi="Calibri"/>
          <w:b/>
          <w:lang w:val="en"/>
        </w:rPr>
        <w:t>) is more likely to overcome impleme</w:t>
      </w:r>
      <w:r w:rsidR="006A441C">
        <w:rPr>
          <w:rFonts w:ascii="Calibri" w:hAnsi="Calibri"/>
          <w:b/>
          <w:lang w:val="en"/>
        </w:rPr>
        <w:t>ntation challenges and support</w:t>
      </w:r>
      <w:r>
        <w:rPr>
          <w:rFonts w:ascii="Calibri" w:hAnsi="Calibri"/>
          <w:b/>
          <w:lang w:val="en"/>
        </w:rPr>
        <w:t xml:space="preserve"> more permanent mainstreaming outcomes </w:t>
      </w:r>
      <w:r>
        <w:rPr>
          <w:rFonts w:ascii="Calibri" w:hAnsi="Calibri"/>
          <w:lang w:val="en"/>
        </w:rPr>
        <w:t>(UNDP, 2016)</w:t>
      </w:r>
      <w:r w:rsidR="000A55CC">
        <w:rPr>
          <w:rFonts w:ascii="Calibri" w:hAnsi="Calibri"/>
          <w:b/>
          <w:lang w:val="en"/>
        </w:rPr>
        <w:t xml:space="preserve">.  </w:t>
      </w:r>
      <w:r w:rsidR="00FC319C">
        <w:rPr>
          <w:rFonts w:ascii="Calibri" w:hAnsi="Calibri"/>
          <w:lang w:val="en"/>
        </w:rPr>
        <w:t xml:space="preserve">Not only is it important to strengthen key governance </w:t>
      </w:r>
      <w:r w:rsidR="00CC000F">
        <w:rPr>
          <w:rFonts w:ascii="Calibri" w:hAnsi="Calibri"/>
          <w:lang w:val="en"/>
        </w:rPr>
        <w:t xml:space="preserve">aspects </w:t>
      </w:r>
      <w:r w:rsidR="00FC319C">
        <w:rPr>
          <w:rFonts w:ascii="Calibri" w:hAnsi="Calibri"/>
          <w:lang w:val="en"/>
        </w:rPr>
        <w:t xml:space="preserve">associated with development decision making (i.e. capacity, finance, coordination), </w:t>
      </w:r>
      <w:r w:rsidR="0064314D">
        <w:rPr>
          <w:rFonts w:ascii="Calibri" w:hAnsi="Calibri"/>
          <w:lang w:val="en"/>
        </w:rPr>
        <w:t xml:space="preserve">but </w:t>
      </w:r>
      <w:r w:rsidR="00FC319C">
        <w:rPr>
          <w:rFonts w:ascii="Calibri" w:hAnsi="Calibri"/>
          <w:lang w:val="en"/>
        </w:rPr>
        <w:t xml:space="preserve">the fundamental principles </w:t>
      </w:r>
      <w:r w:rsidR="0064314D">
        <w:rPr>
          <w:rFonts w:ascii="Calibri" w:hAnsi="Calibri"/>
          <w:lang w:val="en"/>
        </w:rPr>
        <w:t xml:space="preserve">of </w:t>
      </w:r>
      <w:r w:rsidR="000A55CC">
        <w:t>governance (for example, participation, efficiency, responsiveness, accountability</w:t>
      </w:r>
      <w:r w:rsidR="00FC319C">
        <w:t>, inclusion, transparency</w:t>
      </w:r>
      <w:r w:rsidR="000A55CC">
        <w:t xml:space="preserve">) </w:t>
      </w:r>
      <w:r w:rsidR="00FC319C">
        <w:t>can be used to characterise and guide the mainstreaming process and interactions between stakeholders enabling the achievement of development goals (Aysan and Lavell</w:t>
      </w:r>
      <w:r w:rsidR="0018371C">
        <w:t>, 2014</w:t>
      </w:r>
      <w:r w:rsidR="00FC319C">
        <w:t>)</w:t>
      </w:r>
      <w:r w:rsidR="006A441C">
        <w:t>.</w:t>
      </w:r>
      <w:r w:rsidR="00B7739F">
        <w:t xml:space="preserve">  </w:t>
      </w:r>
    </w:p>
    <w:p w14:paraId="5DDC1194" w14:textId="56536B3F" w:rsidR="000A4D0C" w:rsidRDefault="003F4AF6" w:rsidP="003F4AF6">
      <w:pPr>
        <w:pStyle w:val="ListParagraph"/>
        <w:rPr>
          <w:rFonts w:ascii="Calibri" w:hAnsi="Calibri"/>
          <w:sz w:val="22"/>
          <w:lang w:val="en"/>
        </w:rPr>
      </w:pPr>
      <w:r w:rsidRPr="00FC319C">
        <w:rPr>
          <w:noProof/>
          <w:color w:val="ED7D31" w:themeColor="accent2"/>
          <w:sz w:val="22"/>
          <w:lang w:val="en-US"/>
        </w:rPr>
        <w:drawing>
          <wp:anchor distT="0" distB="0" distL="114300" distR="114300" simplePos="0" relativeHeight="251707392" behindDoc="1" locked="0" layoutInCell="1" allowOverlap="1" wp14:anchorId="6CDBEBC5" wp14:editId="6B3A2193">
            <wp:simplePos x="0" y="0"/>
            <wp:positionH relativeFrom="margin">
              <wp:align>left</wp:align>
            </wp:positionH>
            <wp:positionV relativeFrom="paragraph">
              <wp:posOffset>30480</wp:posOffset>
            </wp:positionV>
            <wp:extent cx="333375" cy="333375"/>
            <wp:effectExtent l="0" t="0" r="9525" b="9525"/>
            <wp:wrapTight wrapText="bothSides">
              <wp:wrapPolygon edited="0">
                <wp:start x="0" y="0"/>
                <wp:lineTo x="0" y="20983"/>
                <wp:lineTo x="20983" y="20983"/>
                <wp:lineTo x="209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r w:rsidR="00B37A4C">
        <w:rPr>
          <w:rFonts w:ascii="Calibri" w:hAnsi="Calibri"/>
          <w:i/>
          <w:color w:val="ED7D31" w:themeColor="accent2"/>
          <w:sz w:val="22"/>
          <w:lang w:val="en"/>
        </w:rPr>
        <w:t xml:space="preserve">Experience suggests that </w:t>
      </w:r>
      <w:r w:rsidR="0018371C">
        <w:rPr>
          <w:rFonts w:ascii="Calibri" w:hAnsi="Calibri"/>
          <w:i/>
          <w:color w:val="ED7D31" w:themeColor="accent2"/>
          <w:sz w:val="22"/>
          <w:lang w:val="en"/>
        </w:rPr>
        <w:t xml:space="preserve">mainstreaming is a </w:t>
      </w:r>
      <w:r w:rsidR="00B37A4C">
        <w:rPr>
          <w:rFonts w:ascii="Calibri" w:hAnsi="Calibri"/>
          <w:i/>
          <w:color w:val="ED7D31" w:themeColor="accent2"/>
          <w:sz w:val="22"/>
          <w:lang w:val="en"/>
        </w:rPr>
        <w:t xml:space="preserve">risk governance strengthening </w:t>
      </w:r>
      <w:r w:rsidR="0018371C">
        <w:rPr>
          <w:rFonts w:ascii="Calibri" w:hAnsi="Calibri"/>
          <w:i/>
          <w:color w:val="ED7D31" w:themeColor="accent2"/>
          <w:sz w:val="22"/>
          <w:lang w:val="en"/>
        </w:rPr>
        <w:t>process (within the context of overall</w:t>
      </w:r>
      <w:r w:rsidR="0064314D">
        <w:rPr>
          <w:rFonts w:ascii="Calibri" w:hAnsi="Calibri"/>
          <w:i/>
          <w:color w:val="ED7D31" w:themeColor="accent2"/>
          <w:sz w:val="22"/>
          <w:lang w:val="en"/>
        </w:rPr>
        <w:t xml:space="preserve"> governance for development</w:t>
      </w:r>
      <w:r w:rsidR="0018371C">
        <w:rPr>
          <w:rFonts w:ascii="Calibri" w:hAnsi="Calibri"/>
          <w:i/>
          <w:color w:val="ED7D31" w:themeColor="accent2"/>
          <w:sz w:val="22"/>
          <w:lang w:val="en"/>
        </w:rPr>
        <w:t xml:space="preserve">) </w:t>
      </w:r>
      <w:r w:rsidR="006A441C">
        <w:rPr>
          <w:rFonts w:ascii="Calibri" w:hAnsi="Calibri"/>
          <w:i/>
          <w:color w:val="ED7D31" w:themeColor="accent2"/>
          <w:sz w:val="22"/>
          <w:lang w:val="en"/>
        </w:rPr>
        <w:t>ensuring</w:t>
      </w:r>
      <w:r w:rsidR="0018371C">
        <w:rPr>
          <w:rFonts w:ascii="Calibri" w:hAnsi="Calibri"/>
          <w:i/>
          <w:color w:val="ED7D31" w:themeColor="accent2"/>
          <w:sz w:val="22"/>
          <w:lang w:val="en"/>
        </w:rPr>
        <w:t xml:space="preserve"> that risk reduction and adaptation become underlying </w:t>
      </w:r>
      <w:r w:rsidR="006A441C">
        <w:rPr>
          <w:rFonts w:ascii="Calibri" w:hAnsi="Calibri"/>
          <w:i/>
          <w:color w:val="ED7D31" w:themeColor="accent2"/>
          <w:sz w:val="22"/>
          <w:lang w:val="en"/>
        </w:rPr>
        <w:t>integral elements of</w:t>
      </w:r>
      <w:r w:rsidR="0018371C">
        <w:rPr>
          <w:rFonts w:ascii="Calibri" w:hAnsi="Calibri"/>
          <w:i/>
          <w:color w:val="ED7D31" w:themeColor="accent2"/>
          <w:sz w:val="22"/>
          <w:lang w:val="en"/>
        </w:rPr>
        <w:t xml:space="preserve"> development</w:t>
      </w:r>
      <w:r w:rsidR="0064314D">
        <w:rPr>
          <w:rFonts w:ascii="Calibri" w:hAnsi="Calibri"/>
          <w:i/>
          <w:color w:val="ED7D31" w:themeColor="accent2"/>
          <w:sz w:val="22"/>
          <w:lang w:val="en"/>
        </w:rPr>
        <w:t>.</w:t>
      </w:r>
      <w:r w:rsidR="00B37A4C" w:rsidRPr="003F4AF6">
        <w:rPr>
          <w:rFonts w:ascii="Calibri" w:hAnsi="Calibri"/>
          <w:sz w:val="22"/>
          <w:lang w:val="en"/>
        </w:rPr>
        <w:t xml:space="preserve"> </w:t>
      </w:r>
    </w:p>
    <w:p w14:paraId="529574F9" w14:textId="77777777" w:rsidR="000A4D0C" w:rsidRDefault="000A4D0C" w:rsidP="003F4AF6">
      <w:pPr>
        <w:pStyle w:val="ListParagraph"/>
        <w:rPr>
          <w:rFonts w:ascii="Calibri" w:hAnsi="Calibri"/>
          <w:sz w:val="22"/>
          <w:lang w:val="en"/>
        </w:rPr>
      </w:pPr>
    </w:p>
    <w:p w14:paraId="5F1F2249" w14:textId="2192C7FB" w:rsidR="00FB4A8C" w:rsidRDefault="006A441C" w:rsidP="00D548B7">
      <w:pPr>
        <w:pStyle w:val="Heading1"/>
      </w:pPr>
      <w:bookmarkStart w:id="13" w:name="_Toc451948689"/>
      <w:bookmarkStart w:id="14" w:name="_Toc451409689"/>
      <w:r>
        <w:t>Background to the</w:t>
      </w:r>
      <w:r w:rsidR="00FB4A8C">
        <w:t xml:space="preserve"> tool</w:t>
      </w:r>
      <w:bookmarkEnd w:id="13"/>
      <w:r w:rsidR="00FB4A8C">
        <w:t xml:space="preserve"> </w:t>
      </w:r>
      <w:bookmarkEnd w:id="14"/>
      <w:r>
        <w:t xml:space="preserve"> </w:t>
      </w:r>
    </w:p>
    <w:p w14:paraId="525BA319" w14:textId="32BBC5E5" w:rsidR="007D1566" w:rsidRDefault="007D1566" w:rsidP="00E039ED">
      <w:pPr>
        <w:jc w:val="both"/>
        <w:rPr>
          <w:b/>
        </w:rPr>
      </w:pPr>
    </w:p>
    <w:p w14:paraId="68A39F8E" w14:textId="7F4F5722" w:rsidR="006A441C" w:rsidRPr="006A441C" w:rsidRDefault="006A441C" w:rsidP="00E039ED">
      <w:pPr>
        <w:jc w:val="both"/>
        <w:rPr>
          <w:i/>
        </w:rPr>
      </w:pPr>
      <w:r w:rsidRPr="006A441C">
        <w:rPr>
          <w:i/>
          <w:highlight w:val="yellow"/>
        </w:rPr>
        <w:t>[could be merged with Section 3]</w:t>
      </w:r>
    </w:p>
    <w:p w14:paraId="310BE0E0" w14:textId="70958C58" w:rsidR="001204C1" w:rsidRPr="00C45350" w:rsidRDefault="001204C1" w:rsidP="001204C1">
      <w:pPr>
        <w:jc w:val="both"/>
      </w:pPr>
      <w:bookmarkStart w:id="15" w:name="_Toc451409691"/>
      <w:r w:rsidRPr="001204C1">
        <w:rPr>
          <w:i/>
        </w:rPr>
        <w:t xml:space="preserve">Increasingly, there are requests from UNDP practitioners and their counterparts in government to pursue DRR and CCA in an integrated manner and develop a mainstreaming framework or tool that converges these two areas of work. UNDP has therefore developed this tool to help national and subnational governments </w:t>
      </w:r>
      <w:r w:rsidRPr="001204C1">
        <w:rPr>
          <w:i/>
          <w:u w:val="single"/>
        </w:rPr>
        <w:t xml:space="preserve">overcome </w:t>
      </w:r>
      <w:r w:rsidRPr="006A441C">
        <w:rPr>
          <w:i/>
        </w:rPr>
        <w:t xml:space="preserve">traditional “silos” and to </w:t>
      </w:r>
      <w:r w:rsidRPr="001204C1">
        <w:rPr>
          <w:i/>
          <w:u w:val="single"/>
        </w:rPr>
        <w:t>translate commitment to separate global agendas into joint action</w:t>
      </w:r>
      <w:r w:rsidRPr="001204C1">
        <w:rPr>
          <w:b/>
          <w:i/>
          <w:u w:val="single"/>
        </w:rPr>
        <w:t xml:space="preserve"> </w:t>
      </w:r>
      <w:r w:rsidRPr="001204C1">
        <w:rPr>
          <w:i/>
          <w:u w:val="single"/>
        </w:rPr>
        <w:t>at country level</w:t>
      </w:r>
      <w:r w:rsidRPr="001204C1">
        <w:rPr>
          <w:i/>
        </w:rPr>
        <w:t>.   This new tool will help establish connections between the Sendai Framework for Disaster Risk Reduction 2015-30, the Sustainable Development Goals (SDGs) and the Paris Climate Agreement</w:t>
      </w:r>
      <w:r w:rsidR="006A441C">
        <w:rPr>
          <w:i/>
        </w:rPr>
        <w:t>;</w:t>
      </w:r>
      <w:r w:rsidRPr="001204C1">
        <w:rPr>
          <w:i/>
        </w:rPr>
        <w:t xml:space="preserve"> and support their joint implementation and localisation. It will provide practical guidance, grounded in experience to help national and subnational governments overcome traditional “silos” between climate change, disaster and development practitioners and help “risk inform” the </w:t>
      </w:r>
      <w:r>
        <w:rPr>
          <w:i/>
        </w:rPr>
        <w:t xml:space="preserve">2030 </w:t>
      </w:r>
      <w:r w:rsidRPr="001204C1">
        <w:rPr>
          <w:i/>
        </w:rPr>
        <w:t xml:space="preserve">agenda.  </w:t>
      </w:r>
    </w:p>
    <w:p w14:paraId="1D009955" w14:textId="6C92F87D" w:rsidR="001204C1" w:rsidRDefault="001204C1" w:rsidP="001204C1">
      <w:pPr>
        <w:pStyle w:val="Heading2"/>
      </w:pPr>
      <w:bookmarkStart w:id="16" w:name="_Toc451948690"/>
      <w:r>
        <w:t>Approach to developing the tool</w:t>
      </w:r>
      <w:bookmarkEnd w:id="15"/>
      <w:bookmarkEnd w:id="16"/>
    </w:p>
    <w:p w14:paraId="7898A74D" w14:textId="7FB60031" w:rsidR="000D168E" w:rsidRDefault="000A2041" w:rsidP="00B55C41">
      <w:pPr>
        <w:jc w:val="both"/>
      </w:pPr>
      <w:r w:rsidRPr="000A2041">
        <w:rPr>
          <w:b/>
        </w:rPr>
        <w:t xml:space="preserve">UNDP has decades of experience in working with </w:t>
      </w:r>
      <w:r w:rsidR="009868E7">
        <w:rPr>
          <w:b/>
        </w:rPr>
        <w:t xml:space="preserve">national governments </w:t>
      </w:r>
      <w:r>
        <w:rPr>
          <w:b/>
        </w:rPr>
        <w:t xml:space="preserve">and other partners </w:t>
      </w:r>
      <w:r w:rsidRPr="000A2041">
        <w:rPr>
          <w:b/>
        </w:rPr>
        <w:t xml:space="preserve">in support of </w:t>
      </w:r>
      <w:r w:rsidR="00F12E55">
        <w:rPr>
          <w:b/>
        </w:rPr>
        <w:t>climate and disaster risk management</w:t>
      </w:r>
      <w:r w:rsidRPr="000A2041">
        <w:rPr>
          <w:b/>
        </w:rPr>
        <w:t>, which has provided an opportune starting point for this work.</w:t>
      </w:r>
      <w:r>
        <w:t xml:space="preserve"> </w:t>
      </w:r>
      <w:r w:rsidRPr="00704FE6">
        <w:t xml:space="preserve"> </w:t>
      </w:r>
      <w:r>
        <w:t xml:space="preserve">In particular, this tool is informed by experiences from </w:t>
      </w:r>
      <w:r w:rsidRPr="009D21FD">
        <w:rPr>
          <w:u w:val="single"/>
        </w:rPr>
        <w:t>global programmes</w:t>
      </w:r>
      <w:r>
        <w:t xml:space="preserve"> such as the </w:t>
      </w:r>
      <w:r w:rsidRPr="000D168E">
        <w:rPr>
          <w:i/>
        </w:rPr>
        <w:t xml:space="preserve">Global Mainstreaming Initiative </w:t>
      </w:r>
      <w:r>
        <w:t xml:space="preserve">(GMI), </w:t>
      </w:r>
      <w:r w:rsidR="001204C1">
        <w:t xml:space="preserve">the </w:t>
      </w:r>
      <w:r w:rsidR="000D168E">
        <w:rPr>
          <w:i/>
        </w:rPr>
        <w:t xml:space="preserve">Mainstreaming Adaptation and Disaster Reduction into Development </w:t>
      </w:r>
      <w:r w:rsidR="000D168E">
        <w:t>(</w:t>
      </w:r>
      <w:r>
        <w:t>MADRiD</w:t>
      </w:r>
      <w:r w:rsidR="000D168E">
        <w:t>)</w:t>
      </w:r>
      <w:r w:rsidR="009D21FD">
        <w:t xml:space="preserve"> programme</w:t>
      </w:r>
      <w:r w:rsidR="00AD6538">
        <w:t xml:space="preserve"> (jointly wit UNISDR and partners)</w:t>
      </w:r>
      <w:r>
        <w:t xml:space="preserve">, </w:t>
      </w:r>
      <w:r w:rsidR="000D168E">
        <w:t xml:space="preserve">and the </w:t>
      </w:r>
      <w:r w:rsidRPr="000D168E">
        <w:rPr>
          <w:i/>
        </w:rPr>
        <w:t>Integrated Climate Risk Management Programme</w:t>
      </w:r>
      <w:r w:rsidR="000D168E">
        <w:t xml:space="preserve"> (ICRMP) </w:t>
      </w:r>
      <w:r>
        <w:rPr>
          <w:i/>
        </w:rPr>
        <w:t>[</w:t>
      </w:r>
      <w:r w:rsidR="000D168E" w:rsidRPr="000D168E">
        <w:rPr>
          <w:i/>
          <w:highlight w:val="yellow"/>
        </w:rPr>
        <w:t>Others?</w:t>
      </w:r>
      <w:r w:rsidRPr="000D168E">
        <w:rPr>
          <w:i/>
          <w:highlight w:val="yellow"/>
        </w:rPr>
        <w:t>]</w:t>
      </w:r>
      <w:r w:rsidR="000D168E">
        <w:rPr>
          <w:highlight w:val="yellow"/>
        </w:rPr>
        <w:t>.</w:t>
      </w:r>
      <w:r w:rsidR="009D21FD">
        <w:t xml:space="preserve"> </w:t>
      </w:r>
      <w:r w:rsidR="006A441C">
        <w:t>The tool also draws upon experiences</w:t>
      </w:r>
      <w:r w:rsidR="000D168E">
        <w:t xml:space="preserve"> emerging from </w:t>
      </w:r>
      <w:r w:rsidRPr="009D21FD">
        <w:rPr>
          <w:u w:val="single"/>
        </w:rPr>
        <w:t>regional programmes</w:t>
      </w:r>
      <w:r>
        <w:t xml:space="preserve"> such as the </w:t>
      </w:r>
      <w:r w:rsidRPr="000D168E">
        <w:rPr>
          <w:i/>
        </w:rPr>
        <w:t>Pacific Risk Resilience Programme</w:t>
      </w:r>
      <w:r>
        <w:t xml:space="preserve"> (PRRP) and </w:t>
      </w:r>
      <w:r w:rsidR="001204C1">
        <w:t xml:space="preserve">the </w:t>
      </w:r>
      <w:r w:rsidRPr="000D168E">
        <w:rPr>
          <w:i/>
        </w:rPr>
        <w:t>African Adaptation Programme</w:t>
      </w:r>
      <w:r>
        <w:t xml:space="preserve"> (AAP) </w:t>
      </w:r>
      <w:r>
        <w:rPr>
          <w:i/>
        </w:rPr>
        <w:t>[</w:t>
      </w:r>
      <w:r w:rsidRPr="004F58C3">
        <w:rPr>
          <w:i/>
          <w:highlight w:val="yellow"/>
        </w:rPr>
        <w:t>others</w:t>
      </w:r>
      <w:r w:rsidR="000D168E">
        <w:rPr>
          <w:i/>
        </w:rPr>
        <w:t>?</w:t>
      </w:r>
      <w:r>
        <w:rPr>
          <w:i/>
        </w:rPr>
        <w:t>].</w:t>
      </w:r>
      <w:r w:rsidR="007D1566">
        <w:rPr>
          <w:i/>
        </w:rPr>
        <w:t xml:space="preserve"> </w:t>
      </w:r>
      <w:r w:rsidR="00FD22C4" w:rsidRPr="00FD22C4">
        <w:t xml:space="preserve">Specifically, this tool draws </w:t>
      </w:r>
      <w:r w:rsidR="00376C9E">
        <w:t xml:space="preserve">upon </w:t>
      </w:r>
      <w:r w:rsidR="000D168E">
        <w:t>resources developed by a range of organisations including the following UNDP tools and experiences from the application of these:</w:t>
      </w:r>
    </w:p>
    <w:p w14:paraId="026B67BF" w14:textId="60F73831" w:rsidR="000D168E" w:rsidRPr="000D168E" w:rsidRDefault="000D168E" w:rsidP="00507969">
      <w:pPr>
        <w:pStyle w:val="ListParagraph"/>
        <w:numPr>
          <w:ilvl w:val="0"/>
          <w:numId w:val="20"/>
        </w:numPr>
        <w:jc w:val="both"/>
        <w:rPr>
          <w:rFonts w:asciiTheme="minorHAnsi" w:hAnsiTheme="minorHAnsi"/>
          <w:sz w:val="22"/>
        </w:rPr>
      </w:pPr>
      <w:r w:rsidRPr="000D168E">
        <w:rPr>
          <w:rFonts w:asciiTheme="minorHAnsi" w:hAnsiTheme="minorHAnsi"/>
          <w:i/>
          <w:sz w:val="22"/>
        </w:rPr>
        <w:t>F</w:t>
      </w:r>
      <w:r w:rsidR="00FD22C4" w:rsidRPr="000D168E">
        <w:rPr>
          <w:rFonts w:asciiTheme="minorHAnsi" w:hAnsiTheme="minorHAnsi"/>
          <w:i/>
          <w:sz w:val="22"/>
        </w:rPr>
        <w:t xml:space="preserve">ramework for </w:t>
      </w:r>
      <w:r w:rsidR="00AD6538" w:rsidRPr="000D168E">
        <w:rPr>
          <w:rFonts w:asciiTheme="minorHAnsi" w:hAnsiTheme="minorHAnsi"/>
          <w:i/>
          <w:sz w:val="22"/>
        </w:rPr>
        <w:t xml:space="preserve">Mainstreaming </w:t>
      </w:r>
      <w:r w:rsidR="00FD22C4" w:rsidRPr="000D168E">
        <w:rPr>
          <w:rFonts w:asciiTheme="minorHAnsi" w:hAnsiTheme="minorHAnsi"/>
          <w:i/>
          <w:sz w:val="22"/>
        </w:rPr>
        <w:t>DRR</w:t>
      </w:r>
      <w:r w:rsidR="00FD22C4" w:rsidRPr="000D168E">
        <w:rPr>
          <w:rFonts w:asciiTheme="minorHAnsi" w:hAnsiTheme="minorHAnsi"/>
          <w:sz w:val="22"/>
        </w:rPr>
        <w:t xml:space="preserve"> </w:t>
      </w:r>
      <w:r w:rsidR="00AD6538">
        <w:rPr>
          <w:rFonts w:asciiTheme="minorHAnsi" w:hAnsiTheme="minorHAnsi"/>
          <w:sz w:val="22"/>
        </w:rPr>
        <w:t xml:space="preserve">into Development at the National Level – A Practical Framework </w:t>
      </w:r>
      <w:r w:rsidR="00727FC5" w:rsidRPr="000D168E">
        <w:rPr>
          <w:rFonts w:asciiTheme="minorHAnsi" w:hAnsiTheme="minorHAnsi"/>
          <w:sz w:val="22"/>
        </w:rPr>
        <w:t>(2010)</w:t>
      </w:r>
      <w:r w:rsidRPr="000D168E">
        <w:rPr>
          <w:rFonts w:asciiTheme="minorHAnsi" w:hAnsiTheme="minorHAnsi"/>
          <w:sz w:val="22"/>
        </w:rPr>
        <w:t xml:space="preserve"> </w:t>
      </w:r>
      <w:r>
        <w:rPr>
          <w:rFonts w:asciiTheme="minorHAnsi" w:hAnsiTheme="minorHAnsi"/>
          <w:sz w:val="22"/>
        </w:rPr>
        <w:t>–</w:t>
      </w:r>
      <w:r w:rsidRPr="000D168E">
        <w:rPr>
          <w:rFonts w:asciiTheme="minorHAnsi" w:hAnsiTheme="minorHAnsi"/>
          <w:sz w:val="22"/>
        </w:rPr>
        <w:t xml:space="preserve"> </w:t>
      </w:r>
      <w:r w:rsidR="00AD6538">
        <w:rPr>
          <w:rFonts w:asciiTheme="minorHAnsi" w:hAnsiTheme="minorHAnsi"/>
          <w:sz w:val="22"/>
        </w:rPr>
        <w:t>UNDP</w:t>
      </w:r>
      <w:r w:rsidRPr="000D168E">
        <w:rPr>
          <w:rFonts w:asciiTheme="minorHAnsi" w:hAnsiTheme="minorHAnsi"/>
          <w:sz w:val="22"/>
        </w:rPr>
        <w:t>;</w:t>
      </w:r>
      <w:r w:rsidR="003E6420" w:rsidRPr="000D168E">
        <w:rPr>
          <w:rFonts w:asciiTheme="minorHAnsi" w:hAnsiTheme="minorHAnsi"/>
          <w:sz w:val="22"/>
        </w:rPr>
        <w:t xml:space="preserve"> </w:t>
      </w:r>
    </w:p>
    <w:p w14:paraId="6D480772" w14:textId="15DE6582" w:rsidR="0012028D" w:rsidRPr="0012028D" w:rsidRDefault="0012028D" w:rsidP="0012028D">
      <w:pPr>
        <w:pStyle w:val="ListParagraph"/>
        <w:numPr>
          <w:ilvl w:val="0"/>
          <w:numId w:val="20"/>
        </w:numPr>
        <w:jc w:val="both"/>
        <w:rPr>
          <w:rFonts w:asciiTheme="minorHAnsi" w:hAnsiTheme="minorHAnsi"/>
          <w:sz w:val="22"/>
        </w:rPr>
      </w:pPr>
      <w:r w:rsidRPr="0012028D">
        <w:rPr>
          <w:rFonts w:asciiTheme="minorHAnsi" w:hAnsiTheme="minorHAnsi"/>
          <w:sz w:val="22"/>
        </w:rPr>
        <w:t xml:space="preserve">Mainstreaming Environment and Climate for Poverty Reduction and Sustainable Development: A Handbook to Strengthen Planning and Budgeting Processes </w:t>
      </w:r>
      <w:r>
        <w:rPr>
          <w:rFonts w:asciiTheme="minorHAnsi" w:hAnsiTheme="minorHAnsi"/>
          <w:sz w:val="22"/>
        </w:rPr>
        <w:t xml:space="preserve">- </w:t>
      </w:r>
      <w:r w:rsidRPr="0012028D">
        <w:rPr>
          <w:rFonts w:asciiTheme="minorHAnsi" w:hAnsiTheme="minorHAnsi"/>
          <w:sz w:val="22"/>
        </w:rPr>
        <w:t>UNDP-UNEP PEI (2015)</w:t>
      </w:r>
    </w:p>
    <w:p w14:paraId="7F529C91" w14:textId="2A34ABA7" w:rsidR="0012028D" w:rsidRPr="0012028D" w:rsidRDefault="0012028D" w:rsidP="0012028D">
      <w:pPr>
        <w:pStyle w:val="ListParagraph"/>
        <w:numPr>
          <w:ilvl w:val="0"/>
          <w:numId w:val="20"/>
        </w:numPr>
        <w:jc w:val="both"/>
        <w:rPr>
          <w:rFonts w:asciiTheme="minorHAnsi" w:hAnsiTheme="minorHAnsi"/>
          <w:sz w:val="22"/>
        </w:rPr>
      </w:pPr>
      <w:r w:rsidRPr="0012028D">
        <w:rPr>
          <w:rFonts w:asciiTheme="minorHAnsi" w:hAnsiTheme="minorHAnsi"/>
          <w:sz w:val="22"/>
        </w:rPr>
        <w:t xml:space="preserve">Mainstreaming Climate Change Adaptation into Development Planning:  A Guide for Practitioners </w:t>
      </w:r>
      <w:r>
        <w:rPr>
          <w:rFonts w:asciiTheme="minorHAnsi" w:hAnsiTheme="minorHAnsi"/>
          <w:sz w:val="22"/>
        </w:rPr>
        <w:t xml:space="preserve">- </w:t>
      </w:r>
      <w:r w:rsidRPr="0012028D">
        <w:rPr>
          <w:rFonts w:asciiTheme="minorHAnsi" w:hAnsiTheme="minorHAnsi"/>
          <w:sz w:val="22"/>
        </w:rPr>
        <w:t>UNDP-UNEP PEI (2011)</w:t>
      </w:r>
    </w:p>
    <w:p w14:paraId="7E8152B7" w14:textId="06EF6F7A" w:rsidR="000D168E" w:rsidRPr="0012028D" w:rsidRDefault="0012028D" w:rsidP="0012028D">
      <w:pPr>
        <w:pStyle w:val="ListParagraph"/>
        <w:numPr>
          <w:ilvl w:val="0"/>
          <w:numId w:val="20"/>
        </w:numPr>
        <w:jc w:val="both"/>
        <w:rPr>
          <w:rFonts w:asciiTheme="minorHAnsi" w:hAnsiTheme="minorHAnsi"/>
          <w:sz w:val="22"/>
        </w:rPr>
      </w:pPr>
      <w:r w:rsidRPr="0012028D">
        <w:rPr>
          <w:rFonts w:asciiTheme="minorHAnsi" w:hAnsiTheme="minorHAnsi"/>
          <w:sz w:val="22"/>
        </w:rPr>
        <w:t>Mainstreaming Climate Change in National Development Processes and UN Country Programming</w:t>
      </w:r>
      <w:r>
        <w:rPr>
          <w:rFonts w:asciiTheme="minorHAnsi" w:hAnsiTheme="minorHAnsi"/>
          <w:sz w:val="22"/>
        </w:rPr>
        <w:t xml:space="preserve"> - </w:t>
      </w:r>
      <w:r w:rsidRPr="0012028D">
        <w:rPr>
          <w:rFonts w:asciiTheme="minorHAnsi" w:hAnsiTheme="minorHAnsi"/>
          <w:sz w:val="22"/>
        </w:rPr>
        <w:t xml:space="preserve">UNDP </w:t>
      </w:r>
      <w:r>
        <w:rPr>
          <w:rFonts w:asciiTheme="minorHAnsi" w:hAnsiTheme="minorHAnsi"/>
          <w:sz w:val="22"/>
        </w:rPr>
        <w:t xml:space="preserve">(2011); </w:t>
      </w:r>
      <w:r w:rsidR="006A441C" w:rsidRPr="0012028D">
        <w:rPr>
          <w:rFonts w:asciiTheme="minorHAnsi" w:hAnsiTheme="minorHAnsi"/>
          <w:sz w:val="22"/>
        </w:rPr>
        <w:t>and</w:t>
      </w:r>
    </w:p>
    <w:p w14:paraId="4F3B873A" w14:textId="60D6619A" w:rsidR="000A2041" w:rsidRDefault="00FD22C4" w:rsidP="00507969">
      <w:pPr>
        <w:pStyle w:val="ListParagraph"/>
        <w:numPr>
          <w:ilvl w:val="0"/>
          <w:numId w:val="20"/>
        </w:numPr>
        <w:jc w:val="both"/>
        <w:rPr>
          <w:rFonts w:asciiTheme="minorHAnsi" w:hAnsiTheme="minorHAnsi"/>
          <w:sz w:val="22"/>
        </w:rPr>
      </w:pPr>
      <w:r w:rsidRPr="00376C9E">
        <w:rPr>
          <w:rFonts w:asciiTheme="minorHAnsi" w:hAnsiTheme="minorHAnsi"/>
          <w:i/>
          <w:sz w:val="22"/>
        </w:rPr>
        <w:t>Risk Gover</w:t>
      </w:r>
      <w:r w:rsidR="003E6420" w:rsidRPr="00376C9E">
        <w:rPr>
          <w:rFonts w:asciiTheme="minorHAnsi" w:hAnsiTheme="minorHAnsi"/>
          <w:i/>
          <w:sz w:val="22"/>
        </w:rPr>
        <w:t xml:space="preserve">nance </w:t>
      </w:r>
      <w:r w:rsidR="000D168E" w:rsidRPr="00376C9E">
        <w:rPr>
          <w:rFonts w:asciiTheme="minorHAnsi" w:hAnsiTheme="minorHAnsi"/>
          <w:i/>
          <w:sz w:val="22"/>
        </w:rPr>
        <w:t>B</w:t>
      </w:r>
      <w:r w:rsidR="003E6420" w:rsidRPr="00376C9E">
        <w:rPr>
          <w:rFonts w:asciiTheme="minorHAnsi" w:hAnsiTheme="minorHAnsi"/>
          <w:i/>
          <w:sz w:val="22"/>
        </w:rPr>
        <w:t xml:space="preserve">uilding </w:t>
      </w:r>
      <w:r w:rsidR="000D168E" w:rsidRPr="00376C9E">
        <w:rPr>
          <w:rFonts w:asciiTheme="minorHAnsi" w:hAnsiTheme="minorHAnsi"/>
          <w:i/>
          <w:sz w:val="22"/>
        </w:rPr>
        <w:t>B</w:t>
      </w:r>
      <w:r w:rsidR="003E6420" w:rsidRPr="00376C9E">
        <w:rPr>
          <w:rFonts w:asciiTheme="minorHAnsi" w:hAnsiTheme="minorHAnsi"/>
          <w:i/>
          <w:sz w:val="22"/>
        </w:rPr>
        <w:t>lock</w:t>
      </w:r>
      <w:r w:rsidR="000D168E" w:rsidRPr="00376C9E">
        <w:rPr>
          <w:rFonts w:asciiTheme="minorHAnsi" w:hAnsiTheme="minorHAnsi"/>
          <w:i/>
          <w:sz w:val="22"/>
        </w:rPr>
        <w:t>s for Resilient D</w:t>
      </w:r>
      <w:r w:rsidR="003E6420" w:rsidRPr="00376C9E">
        <w:rPr>
          <w:rFonts w:asciiTheme="minorHAnsi" w:hAnsiTheme="minorHAnsi"/>
          <w:i/>
          <w:sz w:val="22"/>
        </w:rPr>
        <w:t>evelopment in the Pacific</w:t>
      </w:r>
      <w:r w:rsidR="00727FC5" w:rsidRPr="000D168E">
        <w:rPr>
          <w:rFonts w:asciiTheme="minorHAnsi" w:hAnsiTheme="minorHAnsi"/>
          <w:sz w:val="22"/>
        </w:rPr>
        <w:t xml:space="preserve"> (2016)</w:t>
      </w:r>
      <w:r w:rsidR="000D168E">
        <w:rPr>
          <w:rFonts w:asciiTheme="minorHAnsi" w:hAnsiTheme="minorHAnsi"/>
          <w:sz w:val="22"/>
        </w:rPr>
        <w:t xml:space="preserve"> – UNDP (PRRP)</w:t>
      </w:r>
      <w:r w:rsidR="003E6420" w:rsidRPr="000D168E">
        <w:rPr>
          <w:rFonts w:asciiTheme="minorHAnsi" w:hAnsiTheme="minorHAnsi"/>
          <w:sz w:val="22"/>
        </w:rPr>
        <w:t>.</w:t>
      </w:r>
    </w:p>
    <w:p w14:paraId="0B897E22" w14:textId="77777777" w:rsidR="000D168E" w:rsidRPr="000D168E" w:rsidRDefault="000D168E" w:rsidP="000D168E">
      <w:pPr>
        <w:pStyle w:val="ListParagraph"/>
        <w:ind w:left="773"/>
        <w:jc w:val="both"/>
        <w:rPr>
          <w:rFonts w:asciiTheme="minorHAnsi" w:hAnsiTheme="minorHAnsi"/>
          <w:sz w:val="22"/>
        </w:rPr>
      </w:pPr>
    </w:p>
    <w:p w14:paraId="2985B8FF" w14:textId="72A174BB" w:rsidR="00A83868" w:rsidRDefault="00B55C41" w:rsidP="009D21FD">
      <w:pPr>
        <w:spacing w:after="0"/>
        <w:jc w:val="both"/>
      </w:pPr>
      <w:r w:rsidRPr="00FD22C4">
        <w:rPr>
          <w:b/>
        </w:rPr>
        <w:t xml:space="preserve">This tool is </w:t>
      </w:r>
      <w:r w:rsidR="000A2041" w:rsidRPr="00FD22C4">
        <w:rPr>
          <w:b/>
        </w:rPr>
        <w:t xml:space="preserve">also </w:t>
      </w:r>
      <w:r w:rsidRPr="00FD22C4">
        <w:rPr>
          <w:b/>
        </w:rPr>
        <w:t>the product of a number of activities including literature reviews, consultation</w:t>
      </w:r>
      <w:r w:rsidR="000A2041" w:rsidRPr="00FD22C4">
        <w:rPr>
          <w:b/>
        </w:rPr>
        <w:t>s</w:t>
      </w:r>
      <w:r w:rsidRPr="00FD22C4">
        <w:rPr>
          <w:b/>
        </w:rPr>
        <w:t xml:space="preserve">, peer review, workshops and piloting. </w:t>
      </w:r>
    </w:p>
    <w:p w14:paraId="4E05F668" w14:textId="77777777" w:rsidR="006D7179" w:rsidRDefault="006D7179" w:rsidP="009D21FD">
      <w:pPr>
        <w:spacing w:after="0"/>
        <w:jc w:val="both"/>
      </w:pPr>
    </w:p>
    <w:p w14:paraId="3805C709" w14:textId="69FF8E3E" w:rsidR="00B55C41" w:rsidRDefault="00B55C41" w:rsidP="00507969">
      <w:pPr>
        <w:pStyle w:val="ListParagraph"/>
        <w:numPr>
          <w:ilvl w:val="0"/>
          <w:numId w:val="17"/>
        </w:numPr>
        <w:jc w:val="both"/>
        <w:rPr>
          <w:rFonts w:asciiTheme="minorHAnsi" w:hAnsiTheme="minorHAnsi"/>
          <w:i/>
          <w:sz w:val="22"/>
        </w:rPr>
      </w:pPr>
      <w:r w:rsidRPr="009D21FD">
        <w:rPr>
          <w:rFonts w:asciiTheme="minorHAnsi" w:hAnsiTheme="minorHAnsi"/>
          <w:b/>
          <w:sz w:val="22"/>
        </w:rPr>
        <w:t xml:space="preserve">Literature review.  </w:t>
      </w:r>
      <w:r w:rsidR="00FD22C4" w:rsidRPr="009D21FD">
        <w:rPr>
          <w:rFonts w:asciiTheme="minorHAnsi" w:hAnsiTheme="minorHAnsi"/>
          <w:sz w:val="22"/>
        </w:rPr>
        <w:t>A</w:t>
      </w:r>
      <w:r w:rsidRPr="009D21FD">
        <w:rPr>
          <w:rFonts w:asciiTheme="minorHAnsi" w:hAnsiTheme="minorHAnsi"/>
          <w:sz w:val="22"/>
        </w:rPr>
        <w:t xml:space="preserve"> review </w:t>
      </w:r>
      <w:r w:rsidR="00FD22C4" w:rsidRPr="009D21FD">
        <w:rPr>
          <w:rFonts w:asciiTheme="minorHAnsi" w:hAnsiTheme="minorHAnsi"/>
          <w:sz w:val="22"/>
        </w:rPr>
        <w:t xml:space="preserve">was carried out </w:t>
      </w:r>
      <w:r w:rsidRPr="009D21FD">
        <w:rPr>
          <w:rFonts w:asciiTheme="minorHAnsi" w:hAnsiTheme="minorHAnsi"/>
          <w:sz w:val="22"/>
        </w:rPr>
        <w:t xml:space="preserve">of existing mainstreaming guidelines, frameworks and tools for CCA and/or DRR </w:t>
      </w:r>
      <w:r w:rsidR="009D21FD">
        <w:rPr>
          <w:rFonts w:asciiTheme="minorHAnsi" w:hAnsiTheme="minorHAnsi"/>
          <w:sz w:val="22"/>
        </w:rPr>
        <w:t xml:space="preserve">that have been </w:t>
      </w:r>
      <w:r w:rsidR="0080389C" w:rsidRPr="009D21FD">
        <w:rPr>
          <w:rFonts w:asciiTheme="minorHAnsi" w:hAnsiTheme="minorHAnsi"/>
          <w:sz w:val="22"/>
        </w:rPr>
        <w:t>developed</w:t>
      </w:r>
      <w:r w:rsidRPr="009D21FD">
        <w:rPr>
          <w:rFonts w:asciiTheme="minorHAnsi" w:hAnsiTheme="minorHAnsi"/>
          <w:sz w:val="22"/>
        </w:rPr>
        <w:t xml:space="preserve"> over the past two decades by UNDP and key external organisations.  In total in excess of 25 resources were reviewed and each resource </w:t>
      </w:r>
      <w:r w:rsidR="0080389C" w:rsidRPr="009D21FD">
        <w:rPr>
          <w:rFonts w:asciiTheme="minorHAnsi" w:hAnsiTheme="minorHAnsi"/>
          <w:sz w:val="22"/>
        </w:rPr>
        <w:t>was</w:t>
      </w:r>
      <w:r w:rsidRPr="009D21FD">
        <w:rPr>
          <w:rFonts w:asciiTheme="minorHAnsi" w:hAnsiTheme="minorHAnsi"/>
          <w:sz w:val="22"/>
        </w:rPr>
        <w:t xml:space="preserve"> profiled in a separate </w:t>
      </w:r>
      <w:r w:rsidR="007207B2">
        <w:rPr>
          <w:rFonts w:asciiTheme="minorHAnsi" w:hAnsiTheme="minorHAnsi"/>
          <w:i/>
          <w:sz w:val="22"/>
        </w:rPr>
        <w:t>“Review Report</w:t>
      </w:r>
      <w:r w:rsidR="004F58C3">
        <w:rPr>
          <w:rStyle w:val="FootnoteReference"/>
          <w:rFonts w:asciiTheme="minorHAnsi" w:hAnsiTheme="minorHAnsi"/>
          <w:i/>
          <w:sz w:val="22"/>
        </w:rPr>
        <w:footnoteReference w:id="3"/>
      </w:r>
      <w:r w:rsidR="007207B2">
        <w:rPr>
          <w:rFonts w:asciiTheme="minorHAnsi" w:hAnsiTheme="minorHAnsi"/>
          <w:i/>
          <w:sz w:val="22"/>
        </w:rPr>
        <w:t>.</w:t>
      </w:r>
      <w:r w:rsidRPr="009D21FD">
        <w:rPr>
          <w:rFonts w:asciiTheme="minorHAnsi" w:hAnsiTheme="minorHAnsi"/>
          <w:i/>
          <w:sz w:val="22"/>
        </w:rPr>
        <w:t>”</w:t>
      </w:r>
    </w:p>
    <w:p w14:paraId="6289D5C6" w14:textId="77777777" w:rsidR="006D7179" w:rsidRDefault="006D7179" w:rsidP="007207B2">
      <w:pPr>
        <w:pStyle w:val="ListParagraph"/>
        <w:ind w:left="360"/>
        <w:jc w:val="both"/>
        <w:rPr>
          <w:rFonts w:asciiTheme="minorHAnsi" w:hAnsiTheme="minorHAnsi"/>
          <w:i/>
          <w:sz w:val="22"/>
        </w:rPr>
      </w:pPr>
    </w:p>
    <w:p w14:paraId="24F39B1D" w14:textId="5C0E3B5E" w:rsidR="00B55C41" w:rsidRDefault="00B55C41" w:rsidP="00507969">
      <w:pPr>
        <w:pStyle w:val="ListParagraph"/>
        <w:numPr>
          <w:ilvl w:val="0"/>
          <w:numId w:val="17"/>
        </w:numPr>
        <w:jc w:val="both"/>
        <w:rPr>
          <w:rFonts w:asciiTheme="minorHAnsi" w:hAnsiTheme="minorHAnsi"/>
          <w:sz w:val="22"/>
        </w:rPr>
      </w:pPr>
      <w:r w:rsidRPr="009D21FD">
        <w:rPr>
          <w:rFonts w:asciiTheme="minorHAnsi" w:hAnsiTheme="minorHAnsi"/>
          <w:b/>
          <w:sz w:val="22"/>
        </w:rPr>
        <w:t xml:space="preserve">Consultation.  </w:t>
      </w:r>
      <w:r w:rsidR="0093177F">
        <w:rPr>
          <w:rFonts w:asciiTheme="minorHAnsi" w:hAnsiTheme="minorHAnsi"/>
          <w:sz w:val="22"/>
        </w:rPr>
        <w:t>A</w:t>
      </w:r>
      <w:r w:rsidRPr="009D21FD">
        <w:rPr>
          <w:rFonts w:asciiTheme="minorHAnsi" w:hAnsiTheme="minorHAnsi"/>
          <w:sz w:val="22"/>
        </w:rPr>
        <w:t xml:space="preserve"> global </w:t>
      </w:r>
      <w:r w:rsidR="0093177F">
        <w:rPr>
          <w:rFonts w:asciiTheme="minorHAnsi" w:hAnsiTheme="minorHAnsi"/>
          <w:sz w:val="22"/>
        </w:rPr>
        <w:t>e-</w:t>
      </w:r>
      <w:r w:rsidRPr="009D21FD">
        <w:rPr>
          <w:rFonts w:asciiTheme="minorHAnsi" w:hAnsiTheme="minorHAnsi"/>
          <w:sz w:val="22"/>
        </w:rPr>
        <w:t xml:space="preserve">dialogue to collect </w:t>
      </w:r>
      <w:r w:rsidR="00F12E55">
        <w:rPr>
          <w:rFonts w:asciiTheme="minorHAnsi" w:hAnsiTheme="minorHAnsi"/>
          <w:sz w:val="22"/>
        </w:rPr>
        <w:t>experiences</w:t>
      </w:r>
      <w:r w:rsidRPr="009D21FD">
        <w:rPr>
          <w:rFonts w:asciiTheme="minorHAnsi" w:hAnsiTheme="minorHAnsi"/>
          <w:sz w:val="22"/>
        </w:rPr>
        <w:t>,</w:t>
      </w:r>
      <w:r w:rsidR="0093177F">
        <w:rPr>
          <w:rFonts w:asciiTheme="minorHAnsi" w:hAnsiTheme="minorHAnsi"/>
          <w:sz w:val="22"/>
        </w:rPr>
        <w:t xml:space="preserve"> case studies and feedback for the</w:t>
      </w:r>
      <w:r w:rsidRPr="009D21FD">
        <w:rPr>
          <w:rFonts w:asciiTheme="minorHAnsi" w:hAnsiTheme="minorHAnsi"/>
          <w:sz w:val="22"/>
        </w:rPr>
        <w:t xml:space="preserve"> mainstreaming tool</w:t>
      </w:r>
      <w:r w:rsidR="0093177F">
        <w:rPr>
          <w:rFonts w:asciiTheme="minorHAnsi" w:hAnsiTheme="minorHAnsi"/>
          <w:sz w:val="22"/>
        </w:rPr>
        <w:t xml:space="preserve"> was carried out</w:t>
      </w:r>
      <w:r w:rsidRPr="009D21FD">
        <w:rPr>
          <w:rFonts w:asciiTheme="minorHAnsi" w:hAnsiTheme="minorHAnsi"/>
          <w:sz w:val="22"/>
        </w:rPr>
        <w:t>.  A consultation platform was developed with the UNDP Knowledge Management team, with an in-built “Google translate function” to ensure accessibility to participants f</w:t>
      </w:r>
      <w:r w:rsidR="006A441C">
        <w:rPr>
          <w:rFonts w:asciiTheme="minorHAnsi" w:hAnsiTheme="minorHAnsi"/>
          <w:sz w:val="22"/>
        </w:rPr>
        <w:t>rom</w:t>
      </w:r>
      <w:r w:rsidRPr="009D21FD">
        <w:rPr>
          <w:rFonts w:asciiTheme="minorHAnsi" w:hAnsiTheme="minorHAnsi"/>
          <w:sz w:val="22"/>
        </w:rPr>
        <w:t xml:space="preserve"> a range of countries.  The consultation involved three phases:  i</w:t>
      </w:r>
      <w:r w:rsidR="0062131E" w:rsidRPr="009D21FD">
        <w:rPr>
          <w:rFonts w:asciiTheme="minorHAnsi" w:hAnsiTheme="minorHAnsi"/>
          <w:sz w:val="22"/>
        </w:rPr>
        <w:t xml:space="preserve">) </w:t>
      </w:r>
      <w:r w:rsidR="0062131E" w:rsidRPr="009D21FD">
        <w:rPr>
          <w:rFonts w:asciiTheme="minorHAnsi" w:hAnsiTheme="minorHAnsi"/>
          <w:i/>
          <w:sz w:val="22"/>
        </w:rPr>
        <w:t xml:space="preserve">identifying experiences and expectations; </w:t>
      </w:r>
      <w:r w:rsidR="0062131E" w:rsidRPr="009D21FD">
        <w:rPr>
          <w:rFonts w:asciiTheme="minorHAnsi" w:hAnsiTheme="minorHAnsi"/>
          <w:sz w:val="22"/>
        </w:rPr>
        <w:t xml:space="preserve">ii) </w:t>
      </w:r>
      <w:r w:rsidR="0062131E" w:rsidRPr="009D21FD">
        <w:rPr>
          <w:rFonts w:asciiTheme="minorHAnsi" w:hAnsiTheme="minorHAnsi"/>
          <w:i/>
          <w:sz w:val="22"/>
        </w:rPr>
        <w:t xml:space="preserve">collecting feedback on the outline tool and supporting case studies; </w:t>
      </w:r>
      <w:r w:rsidR="0062131E" w:rsidRPr="009D21FD">
        <w:rPr>
          <w:rFonts w:asciiTheme="minorHAnsi" w:hAnsiTheme="minorHAnsi"/>
          <w:sz w:val="22"/>
        </w:rPr>
        <w:t xml:space="preserve">and iii) </w:t>
      </w:r>
      <w:r w:rsidR="0062131E" w:rsidRPr="009D21FD">
        <w:rPr>
          <w:rFonts w:asciiTheme="minorHAnsi" w:hAnsiTheme="minorHAnsi"/>
          <w:i/>
          <w:sz w:val="22"/>
        </w:rPr>
        <w:t xml:space="preserve">gathering feedback on the draft tool.  </w:t>
      </w:r>
      <w:r w:rsidR="00753A51" w:rsidRPr="009D21FD">
        <w:rPr>
          <w:rFonts w:asciiTheme="minorHAnsi" w:hAnsiTheme="minorHAnsi"/>
          <w:sz w:val="22"/>
        </w:rPr>
        <w:t>A number of reports summarising findings were prepared</w:t>
      </w:r>
      <w:r w:rsidR="00753A51" w:rsidRPr="009D21FD">
        <w:rPr>
          <w:rStyle w:val="FootnoteReference"/>
          <w:rFonts w:asciiTheme="minorHAnsi" w:hAnsiTheme="minorHAnsi"/>
          <w:sz w:val="22"/>
        </w:rPr>
        <w:footnoteReference w:id="4"/>
      </w:r>
      <w:r w:rsidR="00753A51" w:rsidRPr="009D21FD">
        <w:rPr>
          <w:rFonts w:asciiTheme="minorHAnsi" w:hAnsiTheme="minorHAnsi"/>
          <w:sz w:val="22"/>
        </w:rPr>
        <w:t xml:space="preserve"> and i</w:t>
      </w:r>
      <w:r w:rsidR="0062131E" w:rsidRPr="009D21FD">
        <w:rPr>
          <w:rFonts w:asciiTheme="minorHAnsi" w:hAnsiTheme="minorHAnsi"/>
          <w:sz w:val="22"/>
        </w:rPr>
        <w:t xml:space="preserve">n </w:t>
      </w:r>
      <w:r w:rsidR="00753A51" w:rsidRPr="009D21FD">
        <w:rPr>
          <w:rFonts w:asciiTheme="minorHAnsi" w:hAnsiTheme="minorHAnsi"/>
          <w:sz w:val="22"/>
        </w:rPr>
        <w:t>total</w:t>
      </w:r>
      <w:r w:rsidR="0062131E" w:rsidRPr="009D21FD">
        <w:rPr>
          <w:rFonts w:asciiTheme="minorHAnsi" w:hAnsiTheme="minorHAnsi"/>
          <w:sz w:val="22"/>
        </w:rPr>
        <w:t xml:space="preserve">, </w:t>
      </w:r>
      <w:r w:rsidR="00376C9E">
        <w:rPr>
          <w:rFonts w:asciiTheme="minorHAnsi" w:hAnsiTheme="minorHAnsi"/>
          <w:sz w:val="22"/>
        </w:rPr>
        <w:t xml:space="preserve">just under </w:t>
      </w:r>
      <w:r w:rsidR="00376C9E" w:rsidRPr="0093177F">
        <w:rPr>
          <w:rFonts w:asciiTheme="minorHAnsi" w:hAnsiTheme="minorHAnsi"/>
          <w:sz w:val="22"/>
          <w:highlight w:val="yellow"/>
        </w:rPr>
        <w:t>200</w:t>
      </w:r>
      <w:r w:rsidR="0062131E" w:rsidRPr="0093177F">
        <w:rPr>
          <w:rFonts w:asciiTheme="minorHAnsi" w:hAnsiTheme="minorHAnsi"/>
          <w:sz w:val="22"/>
          <w:highlight w:val="yellow"/>
        </w:rPr>
        <w:t xml:space="preserve"> responses</w:t>
      </w:r>
      <w:r w:rsidR="0062131E" w:rsidRPr="009D21FD">
        <w:rPr>
          <w:rFonts w:asciiTheme="minorHAnsi" w:hAnsiTheme="minorHAnsi"/>
          <w:sz w:val="22"/>
        </w:rPr>
        <w:t xml:space="preserve"> were received from over </w:t>
      </w:r>
      <w:r w:rsidR="00376C9E" w:rsidRPr="0093177F">
        <w:rPr>
          <w:rFonts w:asciiTheme="minorHAnsi" w:hAnsiTheme="minorHAnsi"/>
          <w:sz w:val="22"/>
          <w:highlight w:val="yellow"/>
        </w:rPr>
        <w:t>60</w:t>
      </w:r>
      <w:r w:rsidR="0062131E" w:rsidRPr="0093177F">
        <w:rPr>
          <w:rFonts w:asciiTheme="minorHAnsi" w:hAnsiTheme="minorHAnsi"/>
          <w:sz w:val="22"/>
          <w:highlight w:val="yellow"/>
        </w:rPr>
        <w:t xml:space="preserve"> countries</w:t>
      </w:r>
      <w:r w:rsidR="00B706F8">
        <w:rPr>
          <w:rFonts w:asciiTheme="minorHAnsi" w:hAnsiTheme="minorHAnsi"/>
          <w:sz w:val="22"/>
        </w:rPr>
        <w:t xml:space="preserve"> for the first two phases</w:t>
      </w:r>
      <w:r w:rsidR="0062131E" w:rsidRPr="009D21FD">
        <w:rPr>
          <w:rFonts w:asciiTheme="minorHAnsi" w:hAnsiTheme="minorHAnsi"/>
          <w:sz w:val="22"/>
        </w:rPr>
        <w:t>, including:</w:t>
      </w:r>
    </w:p>
    <w:p w14:paraId="7B59B232" w14:textId="77777777" w:rsidR="004F58C3" w:rsidRPr="004F58C3" w:rsidRDefault="004F58C3" w:rsidP="004F58C3">
      <w:pPr>
        <w:pStyle w:val="ListParagraph"/>
        <w:rPr>
          <w:rFonts w:asciiTheme="minorHAnsi" w:hAnsiTheme="minorHAnsi"/>
          <w:sz w:val="22"/>
        </w:rPr>
      </w:pPr>
    </w:p>
    <w:p w14:paraId="2D0B858F" w14:textId="3805ADDA" w:rsidR="0062131E" w:rsidRPr="001204C1" w:rsidRDefault="00753A51" w:rsidP="00507969">
      <w:pPr>
        <w:pStyle w:val="ListParagraph"/>
        <w:numPr>
          <w:ilvl w:val="0"/>
          <w:numId w:val="18"/>
        </w:numPr>
        <w:jc w:val="both"/>
        <w:rPr>
          <w:rFonts w:asciiTheme="minorHAnsi" w:hAnsiTheme="minorHAnsi"/>
          <w:i/>
          <w:sz w:val="22"/>
        </w:rPr>
      </w:pPr>
      <w:r w:rsidRPr="001204C1">
        <w:rPr>
          <w:rFonts w:asciiTheme="minorHAnsi" w:hAnsiTheme="minorHAnsi"/>
          <w:i/>
          <w:sz w:val="22"/>
        </w:rPr>
        <w:t xml:space="preserve">Afghanistan, Armenia, Angola, </w:t>
      </w:r>
      <w:r w:rsidR="00BC5BA8" w:rsidRPr="001204C1">
        <w:rPr>
          <w:rFonts w:asciiTheme="minorHAnsi" w:hAnsiTheme="minorHAnsi"/>
          <w:i/>
          <w:sz w:val="22"/>
        </w:rPr>
        <w:t xml:space="preserve">Argentina, </w:t>
      </w:r>
      <w:r w:rsidRPr="001204C1">
        <w:rPr>
          <w:rFonts w:asciiTheme="minorHAnsi" w:hAnsiTheme="minorHAnsi"/>
          <w:i/>
          <w:sz w:val="22"/>
        </w:rPr>
        <w:t xml:space="preserve">Australia, Bangladesh, Brazil, Cambodia, Canada, Chad, Denmark, El Salvador, Ethiopia, Fiji, France, Gambia, Ghana, Haiti, </w:t>
      </w:r>
      <w:r w:rsidR="00BC5BA8" w:rsidRPr="001204C1">
        <w:rPr>
          <w:rFonts w:asciiTheme="minorHAnsi" w:hAnsiTheme="minorHAnsi"/>
          <w:i/>
          <w:sz w:val="22"/>
        </w:rPr>
        <w:t xml:space="preserve">Italy, India, Indonesia, </w:t>
      </w:r>
      <w:r w:rsidRPr="001204C1">
        <w:rPr>
          <w:rFonts w:asciiTheme="minorHAnsi" w:hAnsiTheme="minorHAnsi"/>
          <w:i/>
          <w:sz w:val="22"/>
        </w:rPr>
        <w:t>Japan, Kazakhstan, Kenya, Korea,</w:t>
      </w:r>
      <w:r w:rsidR="00BC5BA8" w:rsidRPr="001204C1">
        <w:rPr>
          <w:rFonts w:asciiTheme="minorHAnsi" w:hAnsiTheme="minorHAnsi"/>
          <w:i/>
          <w:sz w:val="22"/>
        </w:rPr>
        <w:t xml:space="preserve"> Liberia</w:t>
      </w:r>
      <w:r w:rsidRPr="001204C1">
        <w:rPr>
          <w:rFonts w:asciiTheme="minorHAnsi" w:hAnsiTheme="minorHAnsi"/>
          <w:i/>
          <w:sz w:val="22"/>
        </w:rPr>
        <w:t>,</w:t>
      </w:r>
      <w:r w:rsidR="00BC5BA8" w:rsidRPr="001204C1">
        <w:rPr>
          <w:rFonts w:asciiTheme="minorHAnsi" w:hAnsiTheme="minorHAnsi"/>
          <w:i/>
          <w:sz w:val="22"/>
        </w:rPr>
        <w:t xml:space="preserve"> Malawi,</w:t>
      </w:r>
      <w:r w:rsidRPr="001204C1">
        <w:rPr>
          <w:rFonts w:asciiTheme="minorHAnsi" w:hAnsiTheme="minorHAnsi"/>
          <w:i/>
          <w:sz w:val="22"/>
        </w:rPr>
        <w:t xml:space="preserve"> </w:t>
      </w:r>
      <w:r w:rsidR="00BC5BA8" w:rsidRPr="001204C1">
        <w:rPr>
          <w:rFonts w:asciiTheme="minorHAnsi" w:hAnsiTheme="minorHAnsi"/>
          <w:i/>
          <w:sz w:val="22"/>
        </w:rPr>
        <w:t xml:space="preserve">Mauritania, </w:t>
      </w:r>
      <w:r w:rsidRPr="001204C1">
        <w:rPr>
          <w:rFonts w:asciiTheme="minorHAnsi" w:hAnsiTheme="minorHAnsi"/>
          <w:i/>
          <w:sz w:val="22"/>
        </w:rPr>
        <w:t xml:space="preserve">Mozambique, Netherlands, </w:t>
      </w:r>
      <w:r w:rsidR="00BC5BA8" w:rsidRPr="001204C1">
        <w:rPr>
          <w:rFonts w:asciiTheme="minorHAnsi" w:hAnsiTheme="minorHAnsi"/>
          <w:i/>
          <w:sz w:val="22"/>
        </w:rPr>
        <w:t xml:space="preserve">Nepal, </w:t>
      </w:r>
      <w:r w:rsidRPr="001204C1">
        <w:rPr>
          <w:rFonts w:asciiTheme="minorHAnsi" w:hAnsiTheme="minorHAnsi"/>
          <w:i/>
          <w:sz w:val="22"/>
        </w:rPr>
        <w:t xml:space="preserve">Niger, Nigeria, Pakistan, Palestine, </w:t>
      </w:r>
      <w:r w:rsidR="00BC5BA8" w:rsidRPr="001204C1">
        <w:rPr>
          <w:rFonts w:asciiTheme="minorHAnsi" w:hAnsiTheme="minorHAnsi"/>
          <w:i/>
          <w:sz w:val="22"/>
        </w:rPr>
        <w:t xml:space="preserve">Panama, </w:t>
      </w:r>
      <w:r w:rsidRPr="001204C1">
        <w:rPr>
          <w:rFonts w:asciiTheme="minorHAnsi" w:hAnsiTheme="minorHAnsi"/>
          <w:i/>
          <w:sz w:val="22"/>
        </w:rPr>
        <w:t xml:space="preserve">Peru, Philippines, Rwanda, Solomon Islands, </w:t>
      </w:r>
      <w:r w:rsidR="00376C9E" w:rsidRPr="001204C1">
        <w:rPr>
          <w:rFonts w:asciiTheme="minorHAnsi" w:hAnsiTheme="minorHAnsi"/>
          <w:i/>
          <w:sz w:val="22"/>
        </w:rPr>
        <w:t xml:space="preserve">Somalia, </w:t>
      </w:r>
      <w:r w:rsidRPr="001204C1">
        <w:rPr>
          <w:rFonts w:asciiTheme="minorHAnsi" w:hAnsiTheme="minorHAnsi"/>
          <w:i/>
          <w:sz w:val="22"/>
        </w:rPr>
        <w:t xml:space="preserve">South Africa, Sri Lanka, Sweden, Switzerland, Sudan, Tajikistan, Thailand, Tonga, Turkey, Uganda, United Arab Emirates, United Kingdom, United States, Uruguay, Vanuatu, Vietnam and Zimbabwe. </w:t>
      </w:r>
    </w:p>
    <w:p w14:paraId="4CEB666D" w14:textId="77777777" w:rsidR="00376C9E" w:rsidRDefault="00376C9E" w:rsidP="00376C9E">
      <w:pPr>
        <w:pStyle w:val="ListParagraph"/>
        <w:jc w:val="both"/>
        <w:rPr>
          <w:rFonts w:asciiTheme="minorHAnsi" w:hAnsiTheme="minorHAnsi"/>
          <w:i/>
          <w:sz w:val="20"/>
          <w:szCs w:val="20"/>
        </w:rPr>
      </w:pPr>
    </w:p>
    <w:p w14:paraId="44AB6120" w14:textId="6FCD204C" w:rsidR="004F58C3" w:rsidRPr="004F58C3" w:rsidRDefault="00753A51" w:rsidP="004F58C3">
      <w:pPr>
        <w:pStyle w:val="ListParagraph"/>
        <w:numPr>
          <w:ilvl w:val="0"/>
          <w:numId w:val="17"/>
        </w:numPr>
        <w:jc w:val="both"/>
        <w:rPr>
          <w:rFonts w:asciiTheme="minorHAnsi" w:hAnsiTheme="minorHAnsi"/>
          <w:i/>
          <w:sz w:val="22"/>
        </w:rPr>
      </w:pPr>
      <w:r w:rsidRPr="009D21FD">
        <w:rPr>
          <w:rFonts w:asciiTheme="minorHAnsi" w:hAnsiTheme="minorHAnsi"/>
          <w:b/>
          <w:sz w:val="22"/>
        </w:rPr>
        <w:t xml:space="preserve">Peer review.  </w:t>
      </w:r>
      <w:r w:rsidR="009D21FD">
        <w:rPr>
          <w:rFonts w:asciiTheme="minorHAnsi" w:hAnsiTheme="minorHAnsi"/>
          <w:sz w:val="22"/>
        </w:rPr>
        <w:t xml:space="preserve">A </w:t>
      </w:r>
      <w:r w:rsidR="004F58C3">
        <w:rPr>
          <w:rFonts w:asciiTheme="minorHAnsi" w:hAnsiTheme="minorHAnsi"/>
          <w:sz w:val="22"/>
        </w:rPr>
        <w:t xml:space="preserve">preliminary </w:t>
      </w:r>
      <w:r w:rsidR="009D21FD">
        <w:rPr>
          <w:rFonts w:asciiTheme="minorHAnsi" w:hAnsiTheme="minorHAnsi"/>
          <w:sz w:val="22"/>
        </w:rPr>
        <w:t xml:space="preserve">draft of this tool will be peer reviewed by key practitioners from across the globe. </w:t>
      </w:r>
    </w:p>
    <w:p w14:paraId="79240D98" w14:textId="77777777" w:rsidR="004F58C3" w:rsidRPr="004F58C3" w:rsidRDefault="004F58C3" w:rsidP="004F58C3">
      <w:pPr>
        <w:pStyle w:val="ListParagraph"/>
        <w:ind w:left="360"/>
        <w:jc w:val="both"/>
        <w:rPr>
          <w:rFonts w:asciiTheme="minorHAnsi" w:hAnsiTheme="minorHAnsi"/>
          <w:i/>
          <w:sz w:val="22"/>
        </w:rPr>
      </w:pPr>
    </w:p>
    <w:p w14:paraId="3450DE6E" w14:textId="0CACFC8E" w:rsidR="009D21FD" w:rsidRDefault="00753A51" w:rsidP="004F58C3">
      <w:pPr>
        <w:pStyle w:val="ListParagraph"/>
        <w:numPr>
          <w:ilvl w:val="0"/>
          <w:numId w:val="17"/>
        </w:numPr>
        <w:jc w:val="both"/>
        <w:rPr>
          <w:rFonts w:asciiTheme="minorHAnsi" w:hAnsiTheme="minorHAnsi"/>
          <w:i/>
          <w:sz w:val="22"/>
        </w:rPr>
      </w:pPr>
      <w:r w:rsidRPr="004F58C3">
        <w:rPr>
          <w:rFonts w:asciiTheme="minorHAnsi" w:hAnsiTheme="minorHAnsi"/>
          <w:b/>
          <w:sz w:val="22"/>
        </w:rPr>
        <w:t>Workshop</w:t>
      </w:r>
      <w:r w:rsidR="009D21FD" w:rsidRPr="004F58C3">
        <w:rPr>
          <w:rFonts w:asciiTheme="minorHAnsi" w:hAnsiTheme="minorHAnsi"/>
          <w:b/>
          <w:sz w:val="22"/>
        </w:rPr>
        <w:t xml:space="preserve">.  </w:t>
      </w:r>
      <w:r w:rsidR="009D21FD" w:rsidRPr="004F58C3">
        <w:rPr>
          <w:rFonts w:asciiTheme="minorHAnsi" w:hAnsiTheme="minorHAnsi"/>
          <w:sz w:val="22"/>
        </w:rPr>
        <w:t>A workshop will be held in Armenia</w:t>
      </w:r>
      <w:r w:rsidR="00A83868" w:rsidRPr="004F58C3">
        <w:rPr>
          <w:rFonts w:asciiTheme="minorHAnsi" w:hAnsiTheme="minorHAnsi"/>
          <w:sz w:val="22"/>
        </w:rPr>
        <w:t xml:space="preserve"> </w:t>
      </w:r>
      <w:r w:rsidR="009D21FD" w:rsidRPr="004F58C3">
        <w:rPr>
          <w:rFonts w:asciiTheme="minorHAnsi" w:hAnsiTheme="minorHAnsi"/>
          <w:sz w:val="22"/>
        </w:rPr>
        <w:t>in mid-June to discuss the draft tool</w:t>
      </w:r>
      <w:r w:rsidR="00E80D18" w:rsidRPr="004F58C3">
        <w:rPr>
          <w:rFonts w:asciiTheme="minorHAnsi" w:hAnsiTheme="minorHAnsi"/>
          <w:sz w:val="22"/>
        </w:rPr>
        <w:t xml:space="preserve"> with representatives from</w:t>
      </w:r>
      <w:r w:rsidR="009868E7">
        <w:rPr>
          <w:rFonts w:asciiTheme="minorHAnsi" w:hAnsiTheme="minorHAnsi"/>
          <w:sz w:val="22"/>
        </w:rPr>
        <w:t xml:space="preserve"> 6 countries</w:t>
      </w:r>
      <w:r w:rsidR="00E80D18" w:rsidRPr="004F58C3">
        <w:rPr>
          <w:rFonts w:asciiTheme="minorHAnsi" w:hAnsiTheme="minorHAnsi"/>
          <w:sz w:val="22"/>
        </w:rPr>
        <w:t>.  The tool</w:t>
      </w:r>
      <w:r w:rsidR="009D21FD" w:rsidRPr="004F58C3">
        <w:rPr>
          <w:rFonts w:asciiTheme="minorHAnsi" w:hAnsiTheme="minorHAnsi"/>
          <w:sz w:val="22"/>
        </w:rPr>
        <w:t xml:space="preserve"> will be finalised based on feedback</w:t>
      </w:r>
      <w:r w:rsidR="00E80D18" w:rsidRPr="004F58C3">
        <w:rPr>
          <w:rFonts w:asciiTheme="minorHAnsi" w:hAnsiTheme="minorHAnsi"/>
          <w:sz w:val="22"/>
        </w:rPr>
        <w:t xml:space="preserve"> from the workshop</w:t>
      </w:r>
      <w:r w:rsidR="009D21FD" w:rsidRPr="004F58C3">
        <w:rPr>
          <w:rFonts w:asciiTheme="minorHAnsi" w:hAnsiTheme="minorHAnsi"/>
          <w:i/>
          <w:sz w:val="22"/>
        </w:rPr>
        <w:t>.</w:t>
      </w:r>
    </w:p>
    <w:p w14:paraId="35311A20" w14:textId="77777777" w:rsidR="004F58C3" w:rsidRPr="004F58C3" w:rsidRDefault="004F58C3" w:rsidP="004F58C3">
      <w:pPr>
        <w:pStyle w:val="ListParagraph"/>
        <w:rPr>
          <w:rFonts w:asciiTheme="minorHAnsi" w:hAnsiTheme="minorHAnsi"/>
          <w:i/>
          <w:sz w:val="22"/>
        </w:rPr>
      </w:pPr>
    </w:p>
    <w:p w14:paraId="413291A9" w14:textId="090A4E08" w:rsidR="00D73013" w:rsidRPr="004F58C3" w:rsidRDefault="00753A51" w:rsidP="00507969">
      <w:pPr>
        <w:pStyle w:val="ListParagraph"/>
        <w:numPr>
          <w:ilvl w:val="0"/>
          <w:numId w:val="17"/>
        </w:numPr>
        <w:jc w:val="both"/>
        <w:rPr>
          <w:rFonts w:asciiTheme="minorHAnsi" w:hAnsiTheme="minorHAnsi"/>
          <w:i/>
          <w:sz w:val="22"/>
        </w:rPr>
      </w:pPr>
      <w:r w:rsidRPr="009D21FD">
        <w:rPr>
          <w:rFonts w:asciiTheme="minorHAnsi" w:hAnsiTheme="minorHAnsi"/>
          <w:b/>
          <w:sz w:val="22"/>
        </w:rPr>
        <w:t>Piloting</w:t>
      </w:r>
      <w:r w:rsidR="009D21FD">
        <w:rPr>
          <w:rFonts w:asciiTheme="minorHAnsi" w:hAnsiTheme="minorHAnsi"/>
          <w:sz w:val="22"/>
        </w:rPr>
        <w:t xml:space="preserve">.  The tool will be piloted in </w:t>
      </w:r>
      <w:r w:rsidR="00E80D18">
        <w:rPr>
          <w:rFonts w:asciiTheme="minorHAnsi" w:hAnsiTheme="minorHAnsi"/>
          <w:sz w:val="22"/>
        </w:rPr>
        <w:t xml:space="preserve">a number of targeted countries; </w:t>
      </w:r>
      <w:r w:rsidR="00D97726">
        <w:rPr>
          <w:rFonts w:asciiTheme="minorHAnsi" w:hAnsiTheme="minorHAnsi"/>
          <w:sz w:val="22"/>
        </w:rPr>
        <w:t xml:space="preserve">although </w:t>
      </w:r>
      <w:r w:rsidR="00E80D18">
        <w:rPr>
          <w:rFonts w:asciiTheme="minorHAnsi" w:hAnsiTheme="minorHAnsi"/>
          <w:sz w:val="22"/>
        </w:rPr>
        <w:t>the details are yet to be agreed.</w:t>
      </w:r>
      <w:r w:rsidR="009D21FD">
        <w:rPr>
          <w:rFonts w:asciiTheme="minorHAnsi" w:hAnsiTheme="minorHAnsi"/>
          <w:sz w:val="22"/>
        </w:rPr>
        <w:t xml:space="preserve"> </w:t>
      </w:r>
    </w:p>
    <w:p w14:paraId="587E7271" w14:textId="77777777" w:rsidR="004F58C3" w:rsidRPr="004F58C3" w:rsidRDefault="004F58C3" w:rsidP="004F58C3">
      <w:pPr>
        <w:pStyle w:val="ListParagraph"/>
        <w:rPr>
          <w:rFonts w:asciiTheme="minorHAnsi" w:hAnsiTheme="minorHAnsi"/>
          <w:i/>
          <w:sz w:val="22"/>
        </w:rPr>
      </w:pPr>
    </w:p>
    <w:p w14:paraId="2B53DCA9" w14:textId="1D8BB03A" w:rsidR="009D21FD" w:rsidRPr="007D1566" w:rsidRDefault="009D21FD" w:rsidP="00507969">
      <w:pPr>
        <w:pStyle w:val="ListParagraph"/>
        <w:numPr>
          <w:ilvl w:val="0"/>
          <w:numId w:val="17"/>
        </w:numPr>
        <w:jc w:val="both"/>
        <w:rPr>
          <w:rFonts w:asciiTheme="minorHAnsi" w:hAnsiTheme="minorHAnsi"/>
          <w:i/>
          <w:sz w:val="22"/>
        </w:rPr>
      </w:pPr>
      <w:r>
        <w:rPr>
          <w:rFonts w:asciiTheme="minorHAnsi" w:hAnsiTheme="minorHAnsi"/>
          <w:b/>
          <w:sz w:val="22"/>
        </w:rPr>
        <w:t>Dissemination</w:t>
      </w:r>
      <w:r w:rsidRPr="009D21FD">
        <w:rPr>
          <w:rFonts w:asciiTheme="minorHAnsi" w:hAnsiTheme="minorHAnsi"/>
          <w:i/>
          <w:sz w:val="22"/>
        </w:rPr>
        <w:t>.</w:t>
      </w:r>
      <w:r>
        <w:rPr>
          <w:rFonts w:asciiTheme="minorHAnsi" w:hAnsiTheme="minorHAnsi"/>
          <w:i/>
          <w:sz w:val="22"/>
        </w:rPr>
        <w:t xml:space="preserve">  </w:t>
      </w:r>
      <w:r>
        <w:rPr>
          <w:rFonts w:asciiTheme="minorHAnsi" w:hAnsiTheme="minorHAnsi"/>
          <w:sz w:val="22"/>
        </w:rPr>
        <w:t xml:space="preserve">A roadmap will be prepared for rolling out and disseminating </w:t>
      </w:r>
      <w:r w:rsidR="00D97726">
        <w:rPr>
          <w:rFonts w:asciiTheme="minorHAnsi" w:hAnsiTheme="minorHAnsi"/>
          <w:sz w:val="22"/>
        </w:rPr>
        <w:t xml:space="preserve">(and translating) </w:t>
      </w:r>
      <w:r>
        <w:rPr>
          <w:rFonts w:asciiTheme="minorHAnsi" w:hAnsiTheme="minorHAnsi"/>
          <w:sz w:val="22"/>
        </w:rPr>
        <w:t>the tool alongside capacity building</w:t>
      </w:r>
      <w:r w:rsidR="00A83868">
        <w:rPr>
          <w:rFonts w:asciiTheme="minorHAnsi" w:hAnsiTheme="minorHAnsi"/>
          <w:sz w:val="22"/>
        </w:rPr>
        <w:t xml:space="preserve"> to support its implementation.</w:t>
      </w:r>
      <w:r>
        <w:rPr>
          <w:rFonts w:asciiTheme="minorHAnsi" w:hAnsiTheme="minorHAnsi"/>
          <w:sz w:val="22"/>
        </w:rPr>
        <w:t xml:space="preserve"> </w:t>
      </w:r>
    </w:p>
    <w:p w14:paraId="0535D56F" w14:textId="77777777" w:rsidR="007D1566" w:rsidRPr="00C34894" w:rsidRDefault="007D1566" w:rsidP="007D1566">
      <w:pPr>
        <w:pStyle w:val="ListParagraph"/>
        <w:ind w:left="360"/>
        <w:jc w:val="both"/>
        <w:rPr>
          <w:rFonts w:asciiTheme="minorHAnsi" w:hAnsiTheme="minorHAnsi"/>
          <w:i/>
          <w:sz w:val="22"/>
        </w:rPr>
      </w:pPr>
    </w:p>
    <w:p w14:paraId="340511B5" w14:textId="01B7F597" w:rsidR="007D1566" w:rsidRPr="007D1566" w:rsidRDefault="007D1566" w:rsidP="004F58C3">
      <w:pPr>
        <w:pStyle w:val="ListParagraph"/>
        <w:ind w:left="709"/>
        <w:jc w:val="both"/>
        <w:rPr>
          <w:rFonts w:asciiTheme="minorHAnsi" w:hAnsiTheme="minorHAnsi"/>
          <w:i/>
          <w:color w:val="ED7D31" w:themeColor="accent2"/>
          <w:sz w:val="22"/>
        </w:rPr>
      </w:pPr>
      <w:r w:rsidRPr="007D1566">
        <w:rPr>
          <w:rFonts w:asciiTheme="minorHAnsi" w:hAnsiTheme="minorHAnsi"/>
          <w:noProof/>
          <w:sz w:val="22"/>
          <w:lang w:val="en-US"/>
        </w:rPr>
        <w:drawing>
          <wp:anchor distT="0" distB="0" distL="114300" distR="114300" simplePos="0" relativeHeight="251950080" behindDoc="1" locked="0" layoutInCell="1" allowOverlap="1" wp14:anchorId="418527DE" wp14:editId="2C5744B2">
            <wp:simplePos x="0" y="0"/>
            <wp:positionH relativeFrom="margin">
              <wp:align>left</wp:align>
            </wp:positionH>
            <wp:positionV relativeFrom="paragraph">
              <wp:posOffset>94615</wp:posOffset>
            </wp:positionV>
            <wp:extent cx="333375" cy="333375"/>
            <wp:effectExtent l="0" t="0" r="9525" b="9525"/>
            <wp:wrapTight wrapText="bothSides">
              <wp:wrapPolygon edited="0">
                <wp:start x="0" y="0"/>
                <wp:lineTo x="0" y="20983"/>
                <wp:lineTo x="20983" y="20983"/>
                <wp:lineTo x="209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r w:rsidRPr="007D1566">
        <w:rPr>
          <w:rFonts w:asciiTheme="minorHAnsi" w:hAnsiTheme="minorHAnsi"/>
          <w:i/>
          <w:color w:val="ED7D31" w:themeColor="accent2"/>
          <w:sz w:val="22"/>
        </w:rPr>
        <w:t xml:space="preserve">This new “integrated” tool </w:t>
      </w:r>
      <w:r w:rsidR="004F58C3">
        <w:rPr>
          <w:rFonts w:asciiTheme="minorHAnsi" w:hAnsiTheme="minorHAnsi"/>
          <w:i/>
          <w:color w:val="ED7D31" w:themeColor="accent2"/>
          <w:sz w:val="22"/>
        </w:rPr>
        <w:t xml:space="preserve">is grounded in experience and has been developed on the basis of multiple stakeholder inputs.  </w:t>
      </w:r>
    </w:p>
    <w:p w14:paraId="7B287F57" w14:textId="020EE89B" w:rsidR="00C34894" w:rsidRDefault="00C34894">
      <w:pPr>
        <w:rPr>
          <w:rFonts w:eastAsia="Calibri" w:cs="Times New Roman"/>
          <w:b/>
          <w:lang w:val="en-GB" w:bidi="ar-SA"/>
        </w:rPr>
      </w:pPr>
      <w:r>
        <w:rPr>
          <w:b/>
        </w:rPr>
        <w:br w:type="page"/>
      </w:r>
    </w:p>
    <w:p w14:paraId="6EB49CB2" w14:textId="6E643F12" w:rsidR="00D257D8" w:rsidRDefault="00D257D8" w:rsidP="00D548B7">
      <w:pPr>
        <w:pStyle w:val="Heading1"/>
      </w:pPr>
      <w:bookmarkStart w:id="17" w:name="_Toc451409692"/>
      <w:bookmarkStart w:id="18" w:name="_Toc451948691"/>
      <w:r>
        <w:t>Overview of Mainstreaming Tool</w:t>
      </w:r>
      <w:bookmarkEnd w:id="17"/>
      <w:bookmarkEnd w:id="18"/>
    </w:p>
    <w:p w14:paraId="78384AB8" w14:textId="77777777" w:rsidR="008B006C" w:rsidRDefault="008B006C" w:rsidP="00D257D8">
      <w:pPr>
        <w:rPr>
          <w:i/>
          <w:highlight w:val="yellow"/>
        </w:rPr>
      </w:pPr>
    </w:p>
    <w:p w14:paraId="00A95A33" w14:textId="0DFE3ED9" w:rsidR="00D257D8" w:rsidRPr="00840AEB" w:rsidRDefault="00840AEB" w:rsidP="00D257D8">
      <w:pPr>
        <w:rPr>
          <w:i/>
        </w:rPr>
      </w:pPr>
      <w:r w:rsidRPr="00CA7BCA">
        <w:rPr>
          <w:i/>
          <w:highlight w:val="yellow"/>
        </w:rPr>
        <w:t>[Identify different icons for key audiences, that can be used elsewhere in the t</w:t>
      </w:r>
      <w:r w:rsidR="0082670D">
        <w:rPr>
          <w:i/>
          <w:highlight w:val="yellow"/>
        </w:rPr>
        <w:t>ables</w:t>
      </w:r>
      <w:r w:rsidRPr="00CA7BCA">
        <w:rPr>
          <w:i/>
          <w:highlight w:val="yellow"/>
        </w:rPr>
        <w:t>]</w:t>
      </w:r>
    </w:p>
    <w:p w14:paraId="35D5E14A" w14:textId="3BE1191E" w:rsidR="00BD6D74" w:rsidRDefault="00BD6D74" w:rsidP="00D257D8">
      <w:pPr>
        <w:pStyle w:val="Heading2"/>
      </w:pPr>
      <w:bookmarkStart w:id="19" w:name="_Toc451409693"/>
      <w:bookmarkStart w:id="20" w:name="_Toc451948692"/>
      <w:r>
        <w:t>Audience</w:t>
      </w:r>
      <w:bookmarkEnd w:id="19"/>
      <w:bookmarkEnd w:id="20"/>
      <w:r w:rsidR="00810D1F">
        <w:t xml:space="preserve"> </w:t>
      </w:r>
    </w:p>
    <w:p w14:paraId="458D60ED" w14:textId="77777777" w:rsidR="00447AE6" w:rsidRPr="00447AE6" w:rsidRDefault="00447AE6" w:rsidP="00447AE6"/>
    <w:p w14:paraId="3DAAF558" w14:textId="2E3B1036" w:rsidR="00BD6D74" w:rsidRDefault="00840AEB" w:rsidP="00D642DF">
      <w:pPr>
        <w:spacing w:after="0"/>
      </w:pPr>
      <w:r w:rsidRPr="00840AEB">
        <w:rPr>
          <w:noProof/>
          <w:lang w:bidi="ar-SA"/>
        </w:rPr>
        <w:drawing>
          <wp:anchor distT="0" distB="0" distL="114300" distR="114300" simplePos="0" relativeHeight="251743232" behindDoc="1" locked="0" layoutInCell="1" allowOverlap="1" wp14:anchorId="46B475BA" wp14:editId="63364812">
            <wp:simplePos x="0" y="0"/>
            <wp:positionH relativeFrom="column">
              <wp:posOffset>-119380</wp:posOffset>
            </wp:positionH>
            <wp:positionV relativeFrom="paragraph">
              <wp:posOffset>194310</wp:posOffset>
            </wp:positionV>
            <wp:extent cx="452120" cy="452120"/>
            <wp:effectExtent l="0" t="0" r="5080" b="5080"/>
            <wp:wrapTight wrapText="bothSides">
              <wp:wrapPolygon edited="0">
                <wp:start x="0" y="0"/>
                <wp:lineTo x="0" y="20933"/>
                <wp:lineTo x="20933" y="20933"/>
                <wp:lineTo x="209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120" cy="452120"/>
                    </a:xfrm>
                    <a:prstGeom prst="rect">
                      <a:avLst/>
                    </a:prstGeom>
                  </pic:spPr>
                </pic:pic>
              </a:graphicData>
            </a:graphic>
            <wp14:sizeRelH relativeFrom="page">
              <wp14:pctWidth>0</wp14:pctWidth>
            </wp14:sizeRelH>
            <wp14:sizeRelV relativeFrom="page">
              <wp14:pctHeight>0</wp14:pctHeight>
            </wp14:sizeRelV>
          </wp:anchor>
        </w:drawing>
      </w:r>
      <w:r w:rsidR="00810D1F">
        <w:t>This tool has been prepared for:</w:t>
      </w:r>
      <w:r w:rsidR="00A61C84">
        <w:t xml:space="preserve">  </w:t>
      </w:r>
    </w:p>
    <w:p w14:paraId="188C2C5D" w14:textId="5C72768E" w:rsidR="009B16D3" w:rsidRPr="00C24D26" w:rsidRDefault="00810D1F" w:rsidP="00C24D26">
      <w:pPr>
        <w:jc w:val="both"/>
      </w:pPr>
      <w:r w:rsidRPr="00C24D26">
        <w:rPr>
          <w:b/>
        </w:rPr>
        <w:t xml:space="preserve">Government policy makers, planners and </w:t>
      </w:r>
      <w:r w:rsidR="00A61C84" w:rsidRPr="00C24D26">
        <w:rPr>
          <w:b/>
        </w:rPr>
        <w:t>practitioners</w:t>
      </w:r>
      <w:r w:rsidRPr="00C24D26">
        <w:rPr>
          <w:b/>
        </w:rPr>
        <w:t xml:space="preserve"> from</w:t>
      </w:r>
      <w:r w:rsidR="00FA0573" w:rsidRPr="00C24D26">
        <w:rPr>
          <w:b/>
        </w:rPr>
        <w:t xml:space="preserve"> </w:t>
      </w:r>
      <w:r w:rsidR="00683F16" w:rsidRPr="00C24D26">
        <w:rPr>
          <w:b/>
        </w:rPr>
        <w:t>core</w:t>
      </w:r>
      <w:r w:rsidRPr="00C24D26">
        <w:rPr>
          <w:b/>
        </w:rPr>
        <w:t xml:space="preserve"> development </w:t>
      </w:r>
      <w:r w:rsidR="00A61C84" w:rsidRPr="00C24D26">
        <w:rPr>
          <w:b/>
        </w:rPr>
        <w:t>ministries</w:t>
      </w:r>
      <w:r w:rsidRPr="00C24D26">
        <w:rPr>
          <w:b/>
        </w:rPr>
        <w:t xml:space="preserve"> </w:t>
      </w:r>
      <w:r w:rsidR="00683F16" w:rsidRPr="00C24D26">
        <w:t>including: i)</w:t>
      </w:r>
      <w:r w:rsidRPr="00C24D26">
        <w:t xml:space="preserve"> planning</w:t>
      </w:r>
      <w:r w:rsidR="00683F16" w:rsidRPr="00C24D26">
        <w:t xml:space="preserve"> and</w:t>
      </w:r>
      <w:r w:rsidRPr="00C24D26">
        <w:t xml:space="preserve"> finance</w:t>
      </w:r>
      <w:r w:rsidR="00683F16" w:rsidRPr="00C24D26">
        <w:t>; ii)</w:t>
      </w:r>
      <w:r w:rsidRPr="00C24D26">
        <w:t xml:space="preserve"> </w:t>
      </w:r>
      <w:r w:rsidR="009B16D3" w:rsidRPr="00C24D26">
        <w:t xml:space="preserve">key </w:t>
      </w:r>
      <w:r w:rsidRPr="00C24D26">
        <w:t>sectors</w:t>
      </w:r>
      <w:r w:rsidR="00FA0573" w:rsidRPr="00C24D26">
        <w:t xml:space="preserve"> </w:t>
      </w:r>
      <w:r w:rsidR="009B16D3" w:rsidRPr="00C24D26">
        <w:t>such as</w:t>
      </w:r>
      <w:r w:rsidR="00FA0573" w:rsidRPr="00C24D26">
        <w:t xml:space="preserve"> agriculture, </w:t>
      </w:r>
      <w:r w:rsidR="009B16D3" w:rsidRPr="00C24D26">
        <w:t>health and education</w:t>
      </w:r>
      <w:r w:rsidR="00683F16" w:rsidRPr="00C24D26">
        <w:t xml:space="preserve">; </w:t>
      </w:r>
      <w:r w:rsidR="00FA0573" w:rsidRPr="00C24D26">
        <w:t>and</w:t>
      </w:r>
      <w:r w:rsidRPr="00C24D26">
        <w:t xml:space="preserve"> </w:t>
      </w:r>
      <w:r w:rsidR="00683F16" w:rsidRPr="00C24D26">
        <w:t xml:space="preserve">iii) </w:t>
      </w:r>
      <w:r w:rsidRPr="00C24D26">
        <w:t>subnational government.</w:t>
      </w:r>
      <w:r w:rsidR="00A61C84" w:rsidRPr="00C24D26">
        <w:t xml:space="preserve">  </w:t>
      </w:r>
    </w:p>
    <w:p w14:paraId="4A78A058" w14:textId="4EE33A22" w:rsidR="001E5CB4" w:rsidRPr="00840AEB" w:rsidRDefault="009B16D3" w:rsidP="00507969">
      <w:pPr>
        <w:pStyle w:val="ListParagraph"/>
        <w:numPr>
          <w:ilvl w:val="0"/>
          <w:numId w:val="19"/>
        </w:numPr>
        <w:jc w:val="both"/>
        <w:rPr>
          <w:rFonts w:ascii="Calibri" w:hAnsi="Calibri"/>
          <w:sz w:val="22"/>
        </w:rPr>
      </w:pPr>
      <w:r w:rsidRPr="00840AEB">
        <w:rPr>
          <w:rFonts w:ascii="Calibri" w:hAnsi="Calibri"/>
          <w:i/>
          <w:sz w:val="22"/>
        </w:rPr>
        <w:t xml:space="preserve">Rationale:  </w:t>
      </w:r>
      <w:r w:rsidRPr="00840AEB">
        <w:rPr>
          <w:rFonts w:ascii="Calibri" w:hAnsi="Calibri"/>
          <w:sz w:val="22"/>
        </w:rPr>
        <w:t>th</w:t>
      </w:r>
      <w:r w:rsidR="00F90BE4" w:rsidRPr="00840AEB">
        <w:rPr>
          <w:rFonts w:ascii="Calibri" w:hAnsi="Calibri"/>
          <w:sz w:val="22"/>
        </w:rPr>
        <w:t xml:space="preserve">ere is still </w:t>
      </w:r>
      <w:r w:rsidR="00E84D85">
        <w:rPr>
          <w:rFonts w:ascii="Calibri" w:hAnsi="Calibri"/>
          <w:sz w:val="22"/>
        </w:rPr>
        <w:t xml:space="preserve">only </w:t>
      </w:r>
      <w:r w:rsidR="00F90BE4" w:rsidRPr="00840AEB">
        <w:rPr>
          <w:rFonts w:ascii="Calibri" w:hAnsi="Calibri"/>
          <w:sz w:val="22"/>
        </w:rPr>
        <w:t xml:space="preserve">a small base of </w:t>
      </w:r>
      <w:r w:rsidR="0093177F">
        <w:rPr>
          <w:rFonts w:ascii="Calibri" w:hAnsi="Calibri"/>
          <w:sz w:val="22"/>
        </w:rPr>
        <w:t xml:space="preserve">government officials </w:t>
      </w:r>
      <w:r w:rsidR="00F90BE4" w:rsidRPr="00840AEB">
        <w:rPr>
          <w:rFonts w:ascii="Calibri" w:hAnsi="Calibri"/>
          <w:sz w:val="22"/>
        </w:rPr>
        <w:t xml:space="preserve">versed in </w:t>
      </w:r>
      <w:r w:rsidR="00376C9E">
        <w:rPr>
          <w:rFonts w:ascii="Calibri" w:hAnsi="Calibri"/>
          <w:sz w:val="22"/>
        </w:rPr>
        <w:t xml:space="preserve">disaster </w:t>
      </w:r>
      <w:r w:rsidR="0093177F">
        <w:rPr>
          <w:rFonts w:ascii="Calibri" w:hAnsi="Calibri"/>
          <w:sz w:val="22"/>
        </w:rPr>
        <w:t xml:space="preserve">risk management </w:t>
      </w:r>
      <w:r w:rsidR="00376C9E">
        <w:rPr>
          <w:rFonts w:ascii="Calibri" w:hAnsi="Calibri"/>
          <w:sz w:val="22"/>
        </w:rPr>
        <w:t>and climate</w:t>
      </w:r>
      <w:r w:rsidR="0093177F">
        <w:rPr>
          <w:rFonts w:ascii="Calibri" w:hAnsi="Calibri"/>
          <w:sz w:val="22"/>
        </w:rPr>
        <w:t xml:space="preserve"> adaptation</w:t>
      </w:r>
      <w:r w:rsidR="00F12E55">
        <w:rPr>
          <w:rFonts w:ascii="Calibri" w:hAnsi="Calibri"/>
          <w:sz w:val="22"/>
        </w:rPr>
        <w:t>,</w:t>
      </w:r>
      <w:r w:rsidR="00F90BE4" w:rsidRPr="00840AEB">
        <w:rPr>
          <w:rFonts w:ascii="Calibri" w:hAnsi="Calibri"/>
          <w:sz w:val="22"/>
        </w:rPr>
        <w:t xml:space="preserve"> and although in some countries there have been some positive moves, more ministries of economy, plann</w:t>
      </w:r>
      <w:r w:rsidR="007A10EA">
        <w:rPr>
          <w:rFonts w:ascii="Calibri" w:hAnsi="Calibri"/>
          <w:sz w:val="22"/>
        </w:rPr>
        <w:t xml:space="preserve">ing or </w:t>
      </w:r>
      <w:r w:rsidR="00F90BE4" w:rsidRPr="00840AEB">
        <w:rPr>
          <w:rFonts w:ascii="Calibri" w:hAnsi="Calibri"/>
          <w:sz w:val="22"/>
        </w:rPr>
        <w:t>finance</w:t>
      </w:r>
      <w:r w:rsidR="0082670D">
        <w:rPr>
          <w:rFonts w:ascii="Calibri" w:hAnsi="Calibri"/>
          <w:sz w:val="22"/>
        </w:rPr>
        <w:t xml:space="preserve"> and core line ministries</w:t>
      </w:r>
      <w:r w:rsidR="00F90BE4" w:rsidRPr="00840AEB">
        <w:rPr>
          <w:rFonts w:ascii="Calibri" w:hAnsi="Calibri"/>
          <w:sz w:val="22"/>
        </w:rPr>
        <w:t xml:space="preserve"> need the </w:t>
      </w:r>
      <w:r w:rsidR="00F90BE4" w:rsidRPr="00840AEB">
        <w:rPr>
          <w:rFonts w:ascii="Calibri" w:hAnsi="Calibri"/>
          <w:sz w:val="22"/>
          <w:u w:val="single"/>
        </w:rPr>
        <w:t>capacity to incorporate risk</w:t>
      </w:r>
      <w:r w:rsidR="00F90BE4" w:rsidRPr="00840AEB">
        <w:rPr>
          <w:rFonts w:ascii="Calibri" w:hAnsi="Calibri"/>
          <w:sz w:val="22"/>
        </w:rPr>
        <w:t xml:space="preserve"> into development</w:t>
      </w:r>
      <w:r w:rsidRPr="00840AEB">
        <w:rPr>
          <w:rFonts w:ascii="Calibri" w:hAnsi="Calibri"/>
          <w:sz w:val="22"/>
        </w:rPr>
        <w:t xml:space="preserve"> </w:t>
      </w:r>
      <w:r w:rsidR="0093177F">
        <w:rPr>
          <w:rFonts w:ascii="Calibri" w:hAnsi="Calibri"/>
          <w:sz w:val="22"/>
        </w:rPr>
        <w:t xml:space="preserve">and move </w:t>
      </w:r>
      <w:r w:rsidR="0093177F">
        <w:rPr>
          <w:rFonts w:ascii="Calibri" w:hAnsi="Calibri"/>
          <w:sz w:val="22"/>
          <w:lang w:val="en"/>
        </w:rPr>
        <w:t>towar</w:t>
      </w:r>
      <w:r w:rsidRPr="00840AEB">
        <w:rPr>
          <w:rFonts w:ascii="Calibri" w:hAnsi="Calibri"/>
          <w:sz w:val="22"/>
          <w:lang w:val="en"/>
        </w:rPr>
        <w:t>ds</w:t>
      </w:r>
      <w:r w:rsidR="0093177F">
        <w:rPr>
          <w:rFonts w:ascii="Calibri" w:hAnsi="Calibri"/>
          <w:sz w:val="22"/>
          <w:lang w:val="en"/>
        </w:rPr>
        <w:t xml:space="preserve"> a</w:t>
      </w:r>
      <w:r w:rsidRPr="00840AEB">
        <w:rPr>
          <w:rFonts w:ascii="Calibri" w:hAnsi="Calibri"/>
          <w:sz w:val="22"/>
          <w:lang w:val="en"/>
        </w:rPr>
        <w:t xml:space="preserve"> more “prospective” </w:t>
      </w:r>
      <w:r w:rsidR="0093177F">
        <w:rPr>
          <w:rFonts w:ascii="Calibri" w:hAnsi="Calibri"/>
          <w:sz w:val="22"/>
          <w:lang w:val="en"/>
        </w:rPr>
        <w:t xml:space="preserve">approach to </w:t>
      </w:r>
      <w:r w:rsidRPr="00840AEB">
        <w:rPr>
          <w:rFonts w:ascii="Calibri" w:hAnsi="Calibri"/>
          <w:sz w:val="22"/>
          <w:lang w:val="en"/>
        </w:rPr>
        <w:t xml:space="preserve">disaster risk management </w:t>
      </w:r>
      <w:r w:rsidR="00F90BE4" w:rsidRPr="00840AEB">
        <w:rPr>
          <w:rFonts w:ascii="Calibri" w:hAnsi="Calibri"/>
          <w:sz w:val="22"/>
        </w:rPr>
        <w:t>(Aysan and Lavell, 2015).</w:t>
      </w:r>
    </w:p>
    <w:p w14:paraId="5D720192" w14:textId="2A2DAA5A" w:rsidR="001E5CB4" w:rsidRPr="001E5CB4" w:rsidRDefault="00840AEB" w:rsidP="001E5CB4">
      <w:pPr>
        <w:pStyle w:val="ListParagraph"/>
        <w:ind w:left="360"/>
        <w:jc w:val="both"/>
        <w:rPr>
          <w:rFonts w:asciiTheme="minorHAnsi" w:hAnsiTheme="minorHAnsi"/>
          <w:sz w:val="22"/>
        </w:rPr>
      </w:pPr>
      <w:r w:rsidRPr="00840AEB">
        <w:rPr>
          <w:noProof/>
          <w:lang w:val="en-US"/>
        </w:rPr>
        <w:drawing>
          <wp:anchor distT="0" distB="0" distL="114300" distR="114300" simplePos="0" relativeHeight="251745280" behindDoc="1" locked="0" layoutInCell="1" allowOverlap="1" wp14:anchorId="139766E3" wp14:editId="3477D439">
            <wp:simplePos x="0" y="0"/>
            <wp:positionH relativeFrom="column">
              <wp:posOffset>-119380</wp:posOffset>
            </wp:positionH>
            <wp:positionV relativeFrom="paragraph">
              <wp:posOffset>81915</wp:posOffset>
            </wp:positionV>
            <wp:extent cx="452120" cy="452120"/>
            <wp:effectExtent l="0" t="0" r="5080" b="5080"/>
            <wp:wrapTight wrapText="bothSides">
              <wp:wrapPolygon edited="0">
                <wp:start x="0" y="0"/>
                <wp:lineTo x="0" y="20933"/>
                <wp:lineTo x="20933" y="20933"/>
                <wp:lineTo x="209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120" cy="452120"/>
                    </a:xfrm>
                    <a:prstGeom prst="rect">
                      <a:avLst/>
                    </a:prstGeom>
                  </pic:spPr>
                </pic:pic>
              </a:graphicData>
            </a:graphic>
            <wp14:sizeRelH relativeFrom="page">
              <wp14:pctWidth>0</wp14:pctWidth>
            </wp14:sizeRelH>
            <wp14:sizeRelV relativeFrom="page">
              <wp14:pctHeight>0</wp14:pctHeight>
            </wp14:sizeRelV>
          </wp:anchor>
        </w:drawing>
      </w:r>
    </w:p>
    <w:p w14:paraId="6A0093CA" w14:textId="7E39FEDE" w:rsidR="009B16D3" w:rsidRDefault="00A61C84" w:rsidP="00840AEB">
      <w:pPr>
        <w:pStyle w:val="ListParagraph"/>
        <w:ind w:left="360"/>
        <w:jc w:val="both"/>
        <w:rPr>
          <w:rFonts w:asciiTheme="minorHAnsi" w:hAnsiTheme="minorHAnsi"/>
          <w:b/>
          <w:sz w:val="22"/>
        </w:rPr>
      </w:pPr>
      <w:r w:rsidRPr="001E5CB4">
        <w:rPr>
          <w:rFonts w:asciiTheme="minorHAnsi" w:hAnsiTheme="minorHAnsi"/>
          <w:b/>
          <w:sz w:val="22"/>
        </w:rPr>
        <w:t xml:space="preserve">National disaster management authorities </w:t>
      </w:r>
      <w:r w:rsidR="00CB2412" w:rsidRPr="001E5CB4">
        <w:rPr>
          <w:rFonts w:asciiTheme="minorHAnsi" w:hAnsiTheme="minorHAnsi"/>
          <w:b/>
          <w:sz w:val="22"/>
        </w:rPr>
        <w:t xml:space="preserve">(NDMAs) </w:t>
      </w:r>
      <w:r w:rsidRPr="001E5CB4">
        <w:rPr>
          <w:rFonts w:asciiTheme="minorHAnsi" w:hAnsiTheme="minorHAnsi"/>
          <w:b/>
          <w:sz w:val="22"/>
        </w:rPr>
        <w:t xml:space="preserve">and </w:t>
      </w:r>
      <w:r w:rsidR="00CB2412" w:rsidRPr="001E5CB4">
        <w:rPr>
          <w:rFonts w:asciiTheme="minorHAnsi" w:hAnsiTheme="minorHAnsi"/>
          <w:b/>
          <w:sz w:val="22"/>
        </w:rPr>
        <w:t xml:space="preserve">ministries responsible for </w:t>
      </w:r>
      <w:r w:rsidRPr="001E5CB4">
        <w:rPr>
          <w:rFonts w:asciiTheme="minorHAnsi" w:hAnsiTheme="minorHAnsi"/>
          <w:b/>
          <w:sz w:val="22"/>
        </w:rPr>
        <w:t>climate change</w:t>
      </w:r>
      <w:r w:rsidR="00CB2412" w:rsidRPr="001E5CB4">
        <w:rPr>
          <w:rFonts w:asciiTheme="minorHAnsi" w:hAnsiTheme="minorHAnsi"/>
          <w:b/>
          <w:sz w:val="22"/>
        </w:rPr>
        <w:t xml:space="preserve"> </w:t>
      </w:r>
      <w:r w:rsidR="00CB2412" w:rsidRPr="001E5CB4">
        <w:rPr>
          <w:rFonts w:asciiTheme="minorHAnsi" w:hAnsiTheme="minorHAnsi"/>
          <w:sz w:val="22"/>
        </w:rPr>
        <w:t>and related issues.</w:t>
      </w:r>
      <w:r w:rsidR="00CB2412" w:rsidRPr="001E5CB4">
        <w:rPr>
          <w:rFonts w:asciiTheme="minorHAnsi" w:hAnsiTheme="minorHAnsi"/>
          <w:b/>
          <w:sz w:val="22"/>
        </w:rPr>
        <w:t xml:space="preserve"> </w:t>
      </w:r>
    </w:p>
    <w:p w14:paraId="66296CD5" w14:textId="77777777" w:rsidR="00840AEB" w:rsidRPr="009B16D3" w:rsidRDefault="00840AEB" w:rsidP="00840AEB">
      <w:pPr>
        <w:pStyle w:val="ListParagraph"/>
        <w:ind w:left="360"/>
        <w:jc w:val="both"/>
        <w:rPr>
          <w:rFonts w:asciiTheme="minorHAnsi" w:hAnsiTheme="minorHAnsi"/>
          <w:sz w:val="22"/>
        </w:rPr>
      </w:pPr>
    </w:p>
    <w:p w14:paraId="298CB8C6" w14:textId="2E63351A" w:rsidR="00506B9F" w:rsidRDefault="009B16D3" w:rsidP="00C86E69">
      <w:pPr>
        <w:pStyle w:val="ListParagraph"/>
        <w:numPr>
          <w:ilvl w:val="0"/>
          <w:numId w:val="1"/>
        </w:numPr>
        <w:jc w:val="both"/>
        <w:rPr>
          <w:rFonts w:asciiTheme="minorHAnsi" w:hAnsiTheme="minorHAnsi"/>
          <w:sz w:val="22"/>
        </w:rPr>
      </w:pPr>
      <w:r w:rsidRPr="009B16D3">
        <w:rPr>
          <w:rFonts w:asciiTheme="minorHAnsi" w:hAnsiTheme="minorHAnsi"/>
          <w:i/>
          <w:sz w:val="22"/>
        </w:rPr>
        <w:t>Rationale:</w:t>
      </w:r>
      <w:r w:rsidRPr="009B16D3">
        <w:rPr>
          <w:rFonts w:asciiTheme="minorHAnsi" w:hAnsiTheme="minorHAnsi"/>
          <w:b/>
          <w:i/>
          <w:sz w:val="22"/>
        </w:rPr>
        <w:t xml:space="preserve"> </w:t>
      </w:r>
      <w:r w:rsidRPr="009B16D3">
        <w:rPr>
          <w:rFonts w:asciiTheme="minorHAnsi" w:hAnsiTheme="minorHAnsi" w:cs="ArialMT"/>
          <w:sz w:val="22"/>
        </w:rPr>
        <w:t>t</w:t>
      </w:r>
      <w:r w:rsidR="00CB2412" w:rsidRPr="009B16D3">
        <w:rPr>
          <w:rFonts w:asciiTheme="minorHAnsi" w:hAnsiTheme="minorHAnsi" w:cs="ArialMT"/>
          <w:sz w:val="22"/>
        </w:rPr>
        <w:t>he fields of CCA and DRM have developed</w:t>
      </w:r>
      <w:r w:rsidR="0093177F">
        <w:rPr>
          <w:rFonts w:asciiTheme="minorHAnsi" w:hAnsiTheme="minorHAnsi" w:cs="ArialMT"/>
          <w:sz w:val="22"/>
        </w:rPr>
        <w:t xml:space="preserve"> as separate disciplines</w:t>
      </w:r>
      <w:r w:rsidR="00CB2412" w:rsidRPr="009B16D3">
        <w:rPr>
          <w:rFonts w:asciiTheme="minorHAnsi" w:hAnsiTheme="minorHAnsi" w:cs="ArialMT"/>
          <w:sz w:val="22"/>
        </w:rPr>
        <w:t>.</w:t>
      </w:r>
      <w:r w:rsidR="00CB2412" w:rsidRPr="001E5CB4">
        <w:rPr>
          <w:rStyle w:val="FootnoteReference"/>
          <w:rFonts w:asciiTheme="minorHAnsi" w:hAnsiTheme="minorHAnsi"/>
          <w:sz w:val="22"/>
        </w:rPr>
        <w:footnoteReference w:id="5"/>
      </w:r>
      <w:r w:rsidR="00CB2412" w:rsidRPr="009B16D3">
        <w:rPr>
          <w:rFonts w:asciiTheme="minorHAnsi" w:hAnsiTheme="minorHAnsi"/>
          <w:sz w:val="22"/>
        </w:rPr>
        <w:t xml:space="preserve"> At the national level, CCA is typically still </w:t>
      </w:r>
      <w:r w:rsidR="0093177F">
        <w:rPr>
          <w:rFonts w:asciiTheme="minorHAnsi" w:hAnsiTheme="minorHAnsi"/>
          <w:sz w:val="22"/>
        </w:rPr>
        <w:t>considered a new practice</w:t>
      </w:r>
      <w:r w:rsidR="00CB2412" w:rsidRPr="009B16D3">
        <w:rPr>
          <w:rFonts w:asciiTheme="minorHAnsi" w:hAnsiTheme="minorHAnsi"/>
          <w:sz w:val="22"/>
        </w:rPr>
        <w:t xml:space="preserve"> and climate change is a comparatively recent concern for national-level policy. CCA responsibility has often been allocated to Ministries of Environment that typically lack political clout or budget.  </w:t>
      </w:r>
      <w:r w:rsidR="0093177F">
        <w:rPr>
          <w:rFonts w:asciiTheme="minorHAnsi" w:hAnsiTheme="minorHAnsi"/>
          <w:sz w:val="22"/>
        </w:rPr>
        <w:t>N</w:t>
      </w:r>
      <w:r w:rsidR="00CB2412" w:rsidRPr="009B16D3">
        <w:rPr>
          <w:rFonts w:asciiTheme="minorHAnsi" w:hAnsiTheme="minorHAnsi"/>
          <w:sz w:val="22"/>
        </w:rPr>
        <w:t xml:space="preserve">ational disaster management authorities (NDMAs) have </w:t>
      </w:r>
      <w:r w:rsidR="0093177F">
        <w:rPr>
          <w:rFonts w:asciiTheme="minorHAnsi" w:hAnsiTheme="minorHAnsi"/>
          <w:sz w:val="22"/>
        </w:rPr>
        <w:t>had</w:t>
      </w:r>
      <w:r w:rsidR="00CB2412" w:rsidRPr="009B16D3">
        <w:rPr>
          <w:rFonts w:asciiTheme="minorHAnsi" w:hAnsiTheme="minorHAnsi"/>
          <w:sz w:val="22"/>
        </w:rPr>
        <w:t xml:space="preserve"> traditional</w:t>
      </w:r>
      <w:r w:rsidR="0093177F">
        <w:rPr>
          <w:rFonts w:asciiTheme="minorHAnsi" w:hAnsiTheme="minorHAnsi"/>
          <w:sz w:val="22"/>
        </w:rPr>
        <w:t xml:space="preserve">ly the responsibility for </w:t>
      </w:r>
      <w:r w:rsidR="00CB2412" w:rsidRPr="009B16D3">
        <w:rPr>
          <w:rFonts w:asciiTheme="minorHAnsi" w:hAnsiTheme="minorHAnsi"/>
          <w:sz w:val="22"/>
        </w:rPr>
        <w:t>disaster management</w:t>
      </w:r>
      <w:r w:rsidR="00CB2412" w:rsidRPr="009B16D3">
        <w:rPr>
          <w:rFonts w:asciiTheme="minorHAnsi" w:hAnsiTheme="minorHAnsi"/>
          <w:b/>
          <w:sz w:val="22"/>
        </w:rPr>
        <w:t xml:space="preserve">. </w:t>
      </w:r>
      <w:r w:rsidR="00CB2412" w:rsidRPr="009B16D3">
        <w:rPr>
          <w:rFonts w:asciiTheme="minorHAnsi" w:hAnsiTheme="minorHAnsi"/>
          <w:sz w:val="22"/>
        </w:rPr>
        <w:t>There is clear rationale for increasing convergence of these separate strands of work and this tool promotes the engagement of these agencies</w:t>
      </w:r>
      <w:r w:rsidR="002714E7" w:rsidRPr="009B16D3">
        <w:rPr>
          <w:rFonts w:asciiTheme="minorHAnsi" w:hAnsiTheme="minorHAnsi"/>
          <w:sz w:val="22"/>
        </w:rPr>
        <w:t xml:space="preserve">. </w:t>
      </w:r>
    </w:p>
    <w:p w14:paraId="0C9706A2" w14:textId="2EDD33FE" w:rsidR="00840AEB" w:rsidRPr="009B16D3" w:rsidRDefault="00840AEB" w:rsidP="00840AEB">
      <w:pPr>
        <w:pStyle w:val="ListParagraph"/>
        <w:ind w:left="851"/>
        <w:jc w:val="both"/>
        <w:rPr>
          <w:rFonts w:asciiTheme="minorHAnsi" w:hAnsiTheme="minorHAnsi"/>
          <w:sz w:val="22"/>
        </w:rPr>
      </w:pPr>
      <w:r w:rsidRPr="00840AEB">
        <w:rPr>
          <w:noProof/>
          <w:lang w:val="en-US"/>
        </w:rPr>
        <w:drawing>
          <wp:anchor distT="0" distB="0" distL="114300" distR="114300" simplePos="0" relativeHeight="251747328" behindDoc="1" locked="0" layoutInCell="1" allowOverlap="1" wp14:anchorId="37C4C833" wp14:editId="741567F2">
            <wp:simplePos x="0" y="0"/>
            <wp:positionH relativeFrom="margin">
              <wp:posOffset>-157480</wp:posOffset>
            </wp:positionH>
            <wp:positionV relativeFrom="paragraph">
              <wp:posOffset>129540</wp:posOffset>
            </wp:positionV>
            <wp:extent cx="452120" cy="452120"/>
            <wp:effectExtent l="0" t="0" r="5080" b="5080"/>
            <wp:wrapTight wrapText="bothSides">
              <wp:wrapPolygon edited="0">
                <wp:start x="0" y="0"/>
                <wp:lineTo x="0" y="20933"/>
                <wp:lineTo x="20933" y="20933"/>
                <wp:lineTo x="209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120" cy="452120"/>
                    </a:xfrm>
                    <a:prstGeom prst="rect">
                      <a:avLst/>
                    </a:prstGeom>
                  </pic:spPr>
                </pic:pic>
              </a:graphicData>
            </a:graphic>
            <wp14:sizeRelH relativeFrom="page">
              <wp14:pctWidth>0</wp14:pctWidth>
            </wp14:sizeRelH>
            <wp14:sizeRelV relativeFrom="page">
              <wp14:pctHeight>0</wp14:pctHeight>
            </wp14:sizeRelV>
          </wp:anchor>
        </w:drawing>
      </w:r>
    </w:p>
    <w:p w14:paraId="44CDAE7D" w14:textId="2A6D1C1B" w:rsidR="00840AEB" w:rsidRDefault="0093177F" w:rsidP="00840AEB">
      <w:pPr>
        <w:jc w:val="both"/>
      </w:pPr>
      <w:r>
        <w:rPr>
          <w:b/>
        </w:rPr>
        <w:t>UNDP DRR Focal Points and d</w:t>
      </w:r>
      <w:r w:rsidR="00506B9F" w:rsidRPr="00840AEB">
        <w:rPr>
          <w:b/>
        </w:rPr>
        <w:t>evelopment practitioners</w:t>
      </w:r>
      <w:r w:rsidR="00506B9F" w:rsidRPr="00840AEB">
        <w:t xml:space="preserve"> </w:t>
      </w:r>
      <w:r w:rsidR="00506B9F" w:rsidRPr="00840AEB">
        <w:rPr>
          <w:b/>
        </w:rPr>
        <w:t>or partners from international, inter-governmental or non-governmental organisations.</w:t>
      </w:r>
      <w:r w:rsidR="00506B9F" w:rsidRPr="00840AEB">
        <w:t xml:space="preserve"> </w:t>
      </w:r>
      <w:r w:rsidR="00D43317" w:rsidRPr="00840AEB">
        <w:t xml:space="preserve"> </w:t>
      </w:r>
    </w:p>
    <w:p w14:paraId="74C85492" w14:textId="0A7B3F50" w:rsidR="00FE1E98" w:rsidRDefault="00FE1E98" w:rsidP="00FE1E98">
      <w:pPr>
        <w:pStyle w:val="ListParagraph"/>
        <w:numPr>
          <w:ilvl w:val="0"/>
          <w:numId w:val="1"/>
        </w:numPr>
        <w:jc w:val="both"/>
        <w:rPr>
          <w:rFonts w:asciiTheme="minorHAnsi" w:hAnsiTheme="minorHAnsi"/>
          <w:sz w:val="22"/>
        </w:rPr>
      </w:pPr>
      <w:r>
        <w:rPr>
          <w:rFonts w:asciiTheme="minorHAnsi" w:hAnsiTheme="minorHAnsi"/>
          <w:i/>
          <w:sz w:val="22"/>
        </w:rPr>
        <w:t xml:space="preserve">Rationale: </w:t>
      </w:r>
      <w:r w:rsidR="00E35E96" w:rsidRPr="00376C9E">
        <w:rPr>
          <w:rFonts w:asciiTheme="minorHAnsi" w:hAnsiTheme="minorHAnsi"/>
          <w:sz w:val="22"/>
        </w:rPr>
        <w:t xml:space="preserve">UNDP has made strengthening disaster risk governance a cornerstone of its efforts to understand, reduce and manage risk for the past two decades (UNDP, 2015).  Since 2005, it </w:t>
      </w:r>
      <w:r w:rsidR="00376C9E" w:rsidRPr="00376C9E">
        <w:rPr>
          <w:rFonts w:asciiTheme="minorHAnsi" w:hAnsiTheme="minorHAnsi"/>
          <w:sz w:val="22"/>
        </w:rPr>
        <w:t>has</w:t>
      </w:r>
      <w:r w:rsidR="00E35E96" w:rsidRPr="00376C9E">
        <w:rPr>
          <w:rFonts w:asciiTheme="minorHAnsi" w:hAnsiTheme="minorHAnsi"/>
          <w:sz w:val="22"/>
        </w:rPr>
        <w:t xml:space="preserve"> worked with national governments, communities and development partners to support disaster risk governance in 125 countries.  This tool should provide guidance to UNDP and development practitioners from other organisations </w:t>
      </w:r>
      <w:r w:rsidR="00376C9E" w:rsidRPr="00376C9E">
        <w:rPr>
          <w:rFonts w:asciiTheme="minorHAnsi" w:hAnsiTheme="minorHAnsi"/>
          <w:sz w:val="22"/>
        </w:rPr>
        <w:t xml:space="preserve">including inter-governmental bodies such as regional organisations (e.g. East African Community) and regional and global development banks (e.g. ADB, World Bank) </w:t>
      </w:r>
      <w:r w:rsidR="00E35E96" w:rsidRPr="00376C9E">
        <w:rPr>
          <w:rFonts w:asciiTheme="minorHAnsi" w:hAnsiTheme="minorHAnsi"/>
          <w:sz w:val="22"/>
        </w:rPr>
        <w:t xml:space="preserve">as they continue to provide support to mainstream risk through risk governance strengthening. </w:t>
      </w:r>
    </w:p>
    <w:p w14:paraId="3538A213" w14:textId="77777777" w:rsidR="0093177F" w:rsidRPr="0093177F" w:rsidRDefault="0093177F" w:rsidP="0093177F">
      <w:pPr>
        <w:pStyle w:val="ListParagraph"/>
        <w:ind w:left="360"/>
        <w:jc w:val="both"/>
        <w:rPr>
          <w:rFonts w:asciiTheme="minorHAnsi" w:hAnsiTheme="minorHAnsi"/>
          <w:sz w:val="22"/>
        </w:rPr>
      </w:pPr>
    </w:p>
    <w:p w14:paraId="3779BD4F" w14:textId="7A7D37A1" w:rsidR="00FE1E98" w:rsidRPr="00FE1E98" w:rsidRDefault="00FE1E98" w:rsidP="00FE1E98">
      <w:pPr>
        <w:jc w:val="both"/>
      </w:pPr>
      <w:r w:rsidRPr="00FE1E98">
        <w:rPr>
          <w:b/>
        </w:rPr>
        <w:t>In addition, the tool identifies oppor</w:t>
      </w:r>
      <w:r w:rsidR="0093177F">
        <w:rPr>
          <w:b/>
        </w:rPr>
        <w:t>tunities for</w:t>
      </w:r>
      <w:r w:rsidR="00733975">
        <w:rPr>
          <w:b/>
        </w:rPr>
        <w:t xml:space="preserve"> providing incentives and</w:t>
      </w:r>
      <w:r w:rsidR="0093177F">
        <w:rPr>
          <w:b/>
        </w:rPr>
        <w:t xml:space="preserve"> actively engaging</w:t>
      </w:r>
      <w:r w:rsidRPr="00FE1E98">
        <w:rPr>
          <w:b/>
        </w:rPr>
        <w:t xml:space="preserve"> other key stakeholders </w:t>
      </w:r>
      <w:r w:rsidRPr="00FE1E98">
        <w:t>who play a fundamental role in risk informing development, including:</w:t>
      </w:r>
    </w:p>
    <w:p w14:paraId="07A17DCC" w14:textId="2228E5A7" w:rsidR="00506B9F" w:rsidRPr="00376C9E" w:rsidRDefault="00840AEB" w:rsidP="00376C9E">
      <w:pPr>
        <w:pStyle w:val="ListParagraph"/>
        <w:ind w:left="360"/>
        <w:jc w:val="both"/>
        <w:rPr>
          <w:rFonts w:asciiTheme="minorHAnsi" w:hAnsiTheme="minorHAnsi"/>
          <w:sz w:val="22"/>
        </w:rPr>
      </w:pPr>
      <w:r w:rsidRPr="00840AEB">
        <w:rPr>
          <w:noProof/>
          <w:lang w:val="en-US"/>
        </w:rPr>
        <w:drawing>
          <wp:anchor distT="0" distB="0" distL="114300" distR="114300" simplePos="0" relativeHeight="251749376" behindDoc="1" locked="0" layoutInCell="1" allowOverlap="1" wp14:anchorId="2F852EDE" wp14:editId="74419590">
            <wp:simplePos x="0" y="0"/>
            <wp:positionH relativeFrom="margin">
              <wp:posOffset>-195580</wp:posOffset>
            </wp:positionH>
            <wp:positionV relativeFrom="paragraph">
              <wp:posOffset>64135</wp:posOffset>
            </wp:positionV>
            <wp:extent cx="452120" cy="452120"/>
            <wp:effectExtent l="0" t="0" r="5080" b="5080"/>
            <wp:wrapTight wrapText="bothSides">
              <wp:wrapPolygon edited="0">
                <wp:start x="0" y="0"/>
                <wp:lineTo x="0" y="20933"/>
                <wp:lineTo x="20933" y="20933"/>
                <wp:lineTo x="209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120" cy="452120"/>
                    </a:xfrm>
                    <a:prstGeom prst="rect">
                      <a:avLst/>
                    </a:prstGeom>
                  </pic:spPr>
                </pic:pic>
              </a:graphicData>
            </a:graphic>
            <wp14:sizeRelH relativeFrom="page">
              <wp14:pctWidth>0</wp14:pctWidth>
            </wp14:sizeRelH>
            <wp14:sizeRelV relativeFrom="page">
              <wp14:pctHeight>0</wp14:pctHeight>
            </wp14:sizeRelV>
          </wp:anchor>
        </w:drawing>
      </w:r>
    </w:p>
    <w:p w14:paraId="5854C6FA" w14:textId="7C6C9A31" w:rsidR="00E84D85" w:rsidRPr="00376C9E" w:rsidRDefault="00FE1E98" w:rsidP="00E84D85">
      <w:pPr>
        <w:jc w:val="both"/>
        <w:rPr>
          <w:i/>
        </w:rPr>
      </w:pPr>
      <w:r w:rsidRPr="008B006C">
        <w:rPr>
          <w:b/>
        </w:rPr>
        <w:t xml:space="preserve">Civil society </w:t>
      </w:r>
    </w:p>
    <w:p w14:paraId="44F7ABD5" w14:textId="0FF4FF42" w:rsidR="00E35E96" w:rsidRPr="00E84D85" w:rsidRDefault="00E84D85" w:rsidP="00C86E69">
      <w:pPr>
        <w:pStyle w:val="ListParagraph"/>
        <w:numPr>
          <w:ilvl w:val="0"/>
          <w:numId w:val="1"/>
        </w:numPr>
        <w:jc w:val="both"/>
        <w:rPr>
          <w:rFonts w:asciiTheme="minorHAnsi" w:hAnsiTheme="minorHAnsi"/>
          <w:b/>
          <w:sz w:val="22"/>
        </w:rPr>
      </w:pPr>
      <w:r>
        <w:rPr>
          <w:rFonts w:ascii="Calibri" w:hAnsi="Calibri"/>
          <w:i/>
          <w:sz w:val="22"/>
        </w:rPr>
        <w:t xml:space="preserve">Rationale: </w:t>
      </w:r>
      <w:r>
        <w:rPr>
          <w:rFonts w:ascii="Calibri" w:hAnsi="Calibri"/>
          <w:sz w:val="22"/>
        </w:rPr>
        <w:t>m</w:t>
      </w:r>
      <w:r w:rsidR="00E35E96" w:rsidRPr="00E84D85">
        <w:rPr>
          <w:rFonts w:ascii="Calibri" w:hAnsi="Calibri"/>
          <w:sz w:val="22"/>
        </w:rPr>
        <w:t xml:space="preserve">any countries recognise that effective CCA and DRR requires strong community engagement and partnerships, building on the priorities, capacities and needs of communities and other </w:t>
      </w:r>
      <w:r w:rsidR="00840AEB" w:rsidRPr="00E84D85">
        <w:rPr>
          <w:rFonts w:ascii="Calibri" w:hAnsi="Calibri"/>
          <w:sz w:val="22"/>
        </w:rPr>
        <w:t xml:space="preserve">local </w:t>
      </w:r>
      <w:r w:rsidR="00E35E96" w:rsidRPr="00E84D85">
        <w:rPr>
          <w:rFonts w:ascii="Calibri" w:hAnsi="Calibri"/>
          <w:sz w:val="22"/>
        </w:rPr>
        <w:t xml:space="preserve">stakeholders.  </w:t>
      </w:r>
      <w:r w:rsidR="00B7739F">
        <w:rPr>
          <w:rFonts w:ascii="Calibri" w:hAnsi="Calibri"/>
          <w:sz w:val="22"/>
        </w:rPr>
        <w:t xml:space="preserve">Specific attention </w:t>
      </w:r>
      <w:r w:rsidR="00FE1E98">
        <w:rPr>
          <w:rFonts w:ascii="Calibri" w:hAnsi="Calibri"/>
          <w:sz w:val="22"/>
        </w:rPr>
        <w:t xml:space="preserve">needs to be paid to engage </w:t>
      </w:r>
      <w:r w:rsidR="00B7739F">
        <w:rPr>
          <w:rFonts w:ascii="Calibri" w:hAnsi="Calibri"/>
          <w:sz w:val="22"/>
        </w:rPr>
        <w:t xml:space="preserve">socially and economically marginal or vulnerable groups including women, </w:t>
      </w:r>
      <w:r w:rsidR="00C44D8F">
        <w:rPr>
          <w:rFonts w:ascii="Calibri" w:hAnsi="Calibri"/>
          <w:sz w:val="22"/>
        </w:rPr>
        <w:t xml:space="preserve">the </w:t>
      </w:r>
      <w:r w:rsidR="00B7739F">
        <w:rPr>
          <w:rFonts w:ascii="Calibri" w:hAnsi="Calibri"/>
          <w:sz w:val="22"/>
        </w:rPr>
        <w:t xml:space="preserve">elderly, youth, individuals living with disabilities etc. </w:t>
      </w:r>
      <w:r w:rsidR="00E35E96" w:rsidRPr="00E84D85">
        <w:rPr>
          <w:rFonts w:ascii="Calibri" w:hAnsi="Calibri"/>
          <w:sz w:val="22"/>
        </w:rPr>
        <w:t xml:space="preserve">This tool therefore identifies how </w:t>
      </w:r>
      <w:r w:rsidR="00733975">
        <w:rPr>
          <w:rFonts w:ascii="Calibri" w:hAnsi="Calibri"/>
          <w:sz w:val="22"/>
        </w:rPr>
        <w:t xml:space="preserve">civil society and community based organizations </w:t>
      </w:r>
      <w:r w:rsidR="003D1517" w:rsidRPr="00E84D85">
        <w:rPr>
          <w:rFonts w:ascii="Calibri" w:hAnsi="Calibri"/>
          <w:sz w:val="22"/>
        </w:rPr>
        <w:t xml:space="preserve">can be empowered to play an active role in mainstreaming </w:t>
      </w:r>
      <w:r w:rsidR="00FE1E98">
        <w:rPr>
          <w:rFonts w:ascii="Calibri" w:hAnsi="Calibri"/>
          <w:sz w:val="22"/>
        </w:rPr>
        <w:t>in support of</w:t>
      </w:r>
      <w:r w:rsidR="003D1517" w:rsidRPr="00E84D85">
        <w:rPr>
          <w:rFonts w:ascii="Calibri" w:hAnsi="Calibri"/>
          <w:sz w:val="22"/>
        </w:rPr>
        <w:t xml:space="preserve"> risk inform</w:t>
      </w:r>
      <w:r w:rsidR="00FE1E98">
        <w:rPr>
          <w:rFonts w:ascii="Calibri" w:hAnsi="Calibri"/>
          <w:sz w:val="22"/>
        </w:rPr>
        <w:t>ed</w:t>
      </w:r>
      <w:r w:rsidR="003D1517" w:rsidRPr="00E84D85">
        <w:rPr>
          <w:rFonts w:ascii="Calibri" w:hAnsi="Calibri"/>
          <w:sz w:val="22"/>
        </w:rPr>
        <w:t xml:space="preserve"> development. </w:t>
      </w:r>
    </w:p>
    <w:p w14:paraId="51491D9F" w14:textId="56CACD43" w:rsidR="00840AEB" w:rsidRPr="00840AEB" w:rsidRDefault="00840AEB" w:rsidP="00840AEB">
      <w:pPr>
        <w:pStyle w:val="ListParagraph"/>
        <w:ind w:left="360"/>
        <w:jc w:val="both"/>
        <w:rPr>
          <w:rFonts w:ascii="Calibri" w:hAnsi="Calibri"/>
        </w:rPr>
      </w:pPr>
      <w:r w:rsidRPr="00840AEB">
        <w:rPr>
          <w:noProof/>
          <w:lang w:val="en-US"/>
        </w:rPr>
        <w:drawing>
          <wp:anchor distT="0" distB="0" distL="114300" distR="114300" simplePos="0" relativeHeight="251751424" behindDoc="1" locked="0" layoutInCell="1" allowOverlap="1" wp14:anchorId="36BC8DEE" wp14:editId="1313AFD3">
            <wp:simplePos x="0" y="0"/>
            <wp:positionH relativeFrom="margin">
              <wp:posOffset>-118745</wp:posOffset>
            </wp:positionH>
            <wp:positionV relativeFrom="paragraph">
              <wp:posOffset>93980</wp:posOffset>
            </wp:positionV>
            <wp:extent cx="452120" cy="452120"/>
            <wp:effectExtent l="0" t="0" r="5080" b="5080"/>
            <wp:wrapTight wrapText="bothSides">
              <wp:wrapPolygon edited="0">
                <wp:start x="0" y="0"/>
                <wp:lineTo x="0" y="20933"/>
                <wp:lineTo x="20933" y="20933"/>
                <wp:lineTo x="2093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120" cy="452120"/>
                    </a:xfrm>
                    <a:prstGeom prst="rect">
                      <a:avLst/>
                    </a:prstGeom>
                  </pic:spPr>
                </pic:pic>
              </a:graphicData>
            </a:graphic>
            <wp14:sizeRelH relativeFrom="page">
              <wp14:pctWidth>0</wp14:pctWidth>
            </wp14:sizeRelH>
            <wp14:sizeRelV relativeFrom="page">
              <wp14:pctHeight>0</wp14:pctHeight>
            </wp14:sizeRelV>
          </wp:anchor>
        </w:drawing>
      </w:r>
    </w:p>
    <w:p w14:paraId="4C64850B" w14:textId="72AAFD7E" w:rsidR="00840AEB" w:rsidRPr="00A61C84" w:rsidRDefault="00FE1E98" w:rsidP="00840AEB">
      <w:pPr>
        <w:jc w:val="both"/>
      </w:pPr>
      <w:r>
        <w:rPr>
          <w:b/>
        </w:rPr>
        <w:t>P</w:t>
      </w:r>
      <w:r w:rsidR="00840AEB">
        <w:rPr>
          <w:b/>
        </w:rPr>
        <w:t>rivate sector</w:t>
      </w:r>
      <w:r>
        <w:rPr>
          <w:b/>
        </w:rPr>
        <w:t xml:space="preserve"> </w:t>
      </w:r>
    </w:p>
    <w:p w14:paraId="314F47DA" w14:textId="76203691" w:rsidR="00840AEB" w:rsidRPr="006B53DD" w:rsidRDefault="00E84D85" w:rsidP="00C86E69">
      <w:pPr>
        <w:pStyle w:val="ListParagraph"/>
        <w:numPr>
          <w:ilvl w:val="0"/>
          <w:numId w:val="1"/>
        </w:numPr>
        <w:jc w:val="both"/>
        <w:rPr>
          <w:rFonts w:asciiTheme="minorHAnsi" w:hAnsiTheme="minorHAnsi"/>
          <w:sz w:val="22"/>
        </w:rPr>
      </w:pPr>
      <w:r>
        <w:rPr>
          <w:rFonts w:asciiTheme="minorHAnsi" w:hAnsiTheme="minorHAnsi"/>
          <w:sz w:val="22"/>
        </w:rPr>
        <w:t xml:space="preserve"> </w:t>
      </w:r>
      <w:r>
        <w:rPr>
          <w:rFonts w:asciiTheme="minorHAnsi" w:hAnsiTheme="minorHAnsi"/>
          <w:i/>
          <w:sz w:val="22"/>
        </w:rPr>
        <w:t xml:space="preserve">Rationale: </w:t>
      </w:r>
      <w:r>
        <w:rPr>
          <w:rFonts w:asciiTheme="minorHAnsi" w:hAnsiTheme="minorHAnsi"/>
          <w:sz w:val="22"/>
        </w:rPr>
        <w:t>t</w:t>
      </w:r>
      <w:r w:rsidR="00840AEB" w:rsidRPr="006B53DD">
        <w:rPr>
          <w:rFonts w:asciiTheme="minorHAnsi" w:hAnsiTheme="minorHAnsi"/>
          <w:sz w:val="22"/>
        </w:rPr>
        <w:t xml:space="preserve">he tool </w:t>
      </w:r>
      <w:r w:rsidR="00FE1E98">
        <w:rPr>
          <w:rFonts w:asciiTheme="minorHAnsi" w:hAnsiTheme="minorHAnsi"/>
          <w:sz w:val="22"/>
        </w:rPr>
        <w:t>also recognises the role that t</w:t>
      </w:r>
      <w:r w:rsidR="00840AEB" w:rsidRPr="006B53DD">
        <w:rPr>
          <w:rFonts w:asciiTheme="minorHAnsi" w:hAnsiTheme="minorHAnsi"/>
          <w:sz w:val="22"/>
        </w:rPr>
        <w:t xml:space="preserve">he private sector </w:t>
      </w:r>
      <w:r w:rsidR="00FE1E98">
        <w:rPr>
          <w:rFonts w:asciiTheme="minorHAnsi" w:hAnsiTheme="minorHAnsi"/>
          <w:sz w:val="22"/>
        </w:rPr>
        <w:t>plays in risk informing the development agenda, including addressing</w:t>
      </w:r>
      <w:r w:rsidR="00840AEB" w:rsidRPr="006B53DD">
        <w:rPr>
          <w:rFonts w:asciiTheme="minorHAnsi" w:hAnsiTheme="minorHAnsi"/>
          <w:sz w:val="22"/>
        </w:rPr>
        <w:t xml:space="preserve"> risks to and from their own ongoing and planned </w:t>
      </w:r>
      <w:r w:rsidR="00733975">
        <w:rPr>
          <w:rFonts w:asciiTheme="minorHAnsi" w:hAnsiTheme="minorHAnsi"/>
          <w:sz w:val="22"/>
        </w:rPr>
        <w:t>business and investment</w:t>
      </w:r>
      <w:r w:rsidR="00FE1E98">
        <w:rPr>
          <w:rFonts w:asciiTheme="minorHAnsi" w:hAnsiTheme="minorHAnsi"/>
          <w:sz w:val="22"/>
        </w:rPr>
        <w:t xml:space="preserve"> activities.  The tool identifies where private sector engagement is relevant – either as partners supporting DRR/CCA activities or as implementers of risk informed private sector developments. </w:t>
      </w:r>
    </w:p>
    <w:p w14:paraId="1989A47F" w14:textId="0E4A0E0F" w:rsidR="00840AEB" w:rsidRPr="00A61C84" w:rsidRDefault="00840AEB" w:rsidP="00840AEB">
      <w:pPr>
        <w:pStyle w:val="ListParagraph"/>
        <w:ind w:left="360"/>
        <w:jc w:val="both"/>
      </w:pPr>
    </w:p>
    <w:p w14:paraId="201B2BAC" w14:textId="1525C382" w:rsidR="00506B9F" w:rsidRDefault="00E35E96" w:rsidP="00376C9E">
      <w:pPr>
        <w:ind w:left="709"/>
        <w:jc w:val="both"/>
        <w:rPr>
          <w:i/>
          <w:color w:val="ED7D31" w:themeColor="accent2"/>
        </w:rPr>
      </w:pPr>
      <w:r w:rsidRPr="00840AEB">
        <w:rPr>
          <w:i/>
          <w:noProof/>
          <w:color w:val="ED7D31" w:themeColor="accent2"/>
          <w:lang w:bidi="ar-SA"/>
        </w:rPr>
        <w:drawing>
          <wp:anchor distT="0" distB="0" distL="114300" distR="114300" simplePos="0" relativeHeight="251709440" behindDoc="1" locked="0" layoutInCell="1" allowOverlap="1" wp14:anchorId="2869E2B0" wp14:editId="21387B53">
            <wp:simplePos x="0" y="0"/>
            <wp:positionH relativeFrom="margin">
              <wp:align>left</wp:align>
            </wp:positionH>
            <wp:positionV relativeFrom="paragraph">
              <wp:posOffset>4445</wp:posOffset>
            </wp:positionV>
            <wp:extent cx="333375" cy="333375"/>
            <wp:effectExtent l="0" t="0" r="9525" b="9525"/>
            <wp:wrapTight wrapText="bothSides">
              <wp:wrapPolygon edited="0">
                <wp:start x="0" y="0"/>
                <wp:lineTo x="0" y="20983"/>
                <wp:lineTo x="20983" y="20983"/>
                <wp:lineTo x="2098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r w:rsidR="00376C9E">
        <w:rPr>
          <w:i/>
          <w:color w:val="ED7D31" w:themeColor="accent2"/>
        </w:rPr>
        <w:t>The tool is targeted at government practitioners, but m</w:t>
      </w:r>
      <w:r w:rsidR="00506B9F" w:rsidRPr="00840AEB">
        <w:rPr>
          <w:i/>
          <w:color w:val="ED7D31" w:themeColor="accent2"/>
        </w:rPr>
        <w:t xml:space="preserve">ost importantly, the tool </w:t>
      </w:r>
      <w:r w:rsidR="00376C9E">
        <w:rPr>
          <w:i/>
          <w:color w:val="ED7D31" w:themeColor="accent2"/>
        </w:rPr>
        <w:t>is</w:t>
      </w:r>
      <w:r w:rsidR="00506B9F" w:rsidRPr="00840AEB">
        <w:rPr>
          <w:i/>
          <w:color w:val="ED7D31" w:themeColor="accent2"/>
        </w:rPr>
        <w:t xml:space="preserve"> written from the </w:t>
      </w:r>
      <w:r w:rsidR="00506B9F" w:rsidRPr="00840AEB">
        <w:rPr>
          <w:b/>
          <w:i/>
          <w:color w:val="ED7D31" w:themeColor="accent2"/>
          <w:u w:val="single"/>
        </w:rPr>
        <w:t>perspective of development practitioners</w:t>
      </w:r>
      <w:r w:rsidR="00506B9F" w:rsidRPr="00840AEB">
        <w:rPr>
          <w:b/>
          <w:i/>
          <w:color w:val="ED7D31" w:themeColor="accent2"/>
        </w:rPr>
        <w:t xml:space="preserve"> </w:t>
      </w:r>
      <w:r w:rsidR="000B692F">
        <w:rPr>
          <w:i/>
          <w:color w:val="ED7D31" w:themeColor="accent2"/>
        </w:rPr>
        <w:t>and not restricted to</w:t>
      </w:r>
      <w:r w:rsidR="00506B9F" w:rsidRPr="00840AEB">
        <w:rPr>
          <w:i/>
          <w:color w:val="ED7D31" w:themeColor="accent2"/>
        </w:rPr>
        <w:t xml:space="preserve"> climate change or </w:t>
      </w:r>
      <w:r w:rsidR="00D43317" w:rsidRPr="00840AEB">
        <w:rPr>
          <w:i/>
          <w:color w:val="ED7D31" w:themeColor="accent2"/>
        </w:rPr>
        <w:t>disaster risk management (DRM)</w:t>
      </w:r>
      <w:r w:rsidR="00506B9F" w:rsidRPr="00840AEB">
        <w:rPr>
          <w:i/>
          <w:color w:val="ED7D31" w:themeColor="accent2"/>
        </w:rPr>
        <w:t xml:space="preserve"> practitioners. </w:t>
      </w:r>
    </w:p>
    <w:p w14:paraId="64CA1E21" w14:textId="77777777" w:rsidR="00C44D8F" w:rsidRPr="00840AEB" w:rsidRDefault="00C44D8F" w:rsidP="00376C9E">
      <w:pPr>
        <w:ind w:left="709"/>
        <w:jc w:val="both"/>
        <w:rPr>
          <w:i/>
          <w:color w:val="ED7D31" w:themeColor="accent2"/>
        </w:rPr>
      </w:pPr>
    </w:p>
    <w:p w14:paraId="4A5791D6" w14:textId="7D32E9C1" w:rsidR="00506B9F" w:rsidRDefault="00506B9F" w:rsidP="00506B9F">
      <w:pPr>
        <w:pStyle w:val="Heading2"/>
      </w:pPr>
      <w:bookmarkStart w:id="21" w:name="_Toc451409694"/>
      <w:bookmarkStart w:id="22" w:name="_Toc451948693"/>
      <w:r>
        <w:t>Purpose</w:t>
      </w:r>
      <w:bookmarkEnd w:id="21"/>
      <w:bookmarkEnd w:id="22"/>
    </w:p>
    <w:p w14:paraId="5E60280B" w14:textId="756ABEF9" w:rsidR="00E16738" w:rsidRDefault="003924F6" w:rsidP="00E16738">
      <w:pPr>
        <w:jc w:val="both"/>
      </w:pPr>
      <w:r w:rsidRPr="00E16738">
        <w:rPr>
          <w:b/>
        </w:rPr>
        <w:t xml:space="preserve">The purpose of this </w:t>
      </w:r>
      <w:r w:rsidR="00E5447C">
        <w:rPr>
          <w:b/>
        </w:rPr>
        <w:t xml:space="preserve">dynamic </w:t>
      </w:r>
      <w:r w:rsidRPr="00E16738">
        <w:rPr>
          <w:b/>
        </w:rPr>
        <w:t xml:space="preserve">tool is to </w:t>
      </w:r>
      <w:r w:rsidR="00E16738" w:rsidRPr="00E16738">
        <w:rPr>
          <w:b/>
        </w:rPr>
        <w:t xml:space="preserve">build common understanding and commitment to risk informing the development agenda </w:t>
      </w:r>
      <w:r w:rsidR="00E16738">
        <w:t xml:space="preserve">and therefore mainstreaming </w:t>
      </w:r>
      <w:r w:rsidR="00E16738" w:rsidRPr="00E16738">
        <w:rPr>
          <w:u w:val="single"/>
        </w:rPr>
        <w:t>both</w:t>
      </w:r>
      <w:r w:rsidR="00E16738">
        <w:t xml:space="preserve"> disaster and climate change risk into development policy and practice.  </w:t>
      </w:r>
    </w:p>
    <w:p w14:paraId="1B9CE715" w14:textId="03985B11" w:rsidR="00E16738" w:rsidRPr="00E16738" w:rsidRDefault="00E16738" w:rsidP="00E5447C">
      <w:pPr>
        <w:pStyle w:val="ListParagraph"/>
        <w:numPr>
          <w:ilvl w:val="0"/>
          <w:numId w:val="1"/>
        </w:numPr>
        <w:jc w:val="both"/>
        <w:rPr>
          <w:rFonts w:asciiTheme="minorHAnsi" w:hAnsiTheme="minorHAnsi"/>
          <w:b/>
          <w:sz w:val="22"/>
        </w:rPr>
      </w:pPr>
      <w:r w:rsidRPr="00E16738">
        <w:rPr>
          <w:rFonts w:asciiTheme="minorHAnsi" w:hAnsiTheme="minorHAnsi"/>
          <w:b/>
          <w:sz w:val="22"/>
        </w:rPr>
        <w:t xml:space="preserve">It aims to help national and subnational governments overcome traditional “silos” </w:t>
      </w:r>
      <w:r w:rsidRPr="00E16738">
        <w:rPr>
          <w:rFonts w:asciiTheme="minorHAnsi" w:hAnsiTheme="minorHAnsi"/>
          <w:sz w:val="22"/>
        </w:rPr>
        <w:t>and to translate commitment to separate global agendas into joint cohesive action at country level</w:t>
      </w:r>
      <w:r w:rsidRPr="00E16738">
        <w:rPr>
          <w:rFonts w:asciiTheme="minorHAnsi" w:hAnsiTheme="minorHAnsi"/>
          <w:b/>
          <w:sz w:val="22"/>
        </w:rPr>
        <w:t xml:space="preserve">. </w:t>
      </w:r>
    </w:p>
    <w:p w14:paraId="44C9F4DE" w14:textId="77777777" w:rsidR="00E5447C" w:rsidRDefault="00E16738" w:rsidP="00E16738">
      <w:pPr>
        <w:pStyle w:val="ListParagraph"/>
        <w:numPr>
          <w:ilvl w:val="0"/>
          <w:numId w:val="1"/>
        </w:numPr>
        <w:jc w:val="both"/>
        <w:rPr>
          <w:rFonts w:asciiTheme="minorHAnsi" w:hAnsiTheme="minorHAnsi"/>
          <w:sz w:val="22"/>
        </w:rPr>
      </w:pPr>
      <w:r w:rsidRPr="00E16738">
        <w:rPr>
          <w:rFonts w:asciiTheme="minorHAnsi" w:hAnsiTheme="minorHAnsi"/>
          <w:b/>
          <w:sz w:val="22"/>
        </w:rPr>
        <w:t xml:space="preserve">It aims to provide </w:t>
      </w:r>
      <w:r w:rsidR="003924F6" w:rsidRPr="00E16738">
        <w:rPr>
          <w:rFonts w:asciiTheme="minorHAnsi" w:hAnsiTheme="minorHAnsi"/>
          <w:b/>
          <w:sz w:val="22"/>
        </w:rPr>
        <w:t>practical guidance, translate theory into action</w:t>
      </w:r>
      <w:r w:rsidR="00D43317" w:rsidRPr="00E16738">
        <w:rPr>
          <w:rFonts w:asciiTheme="minorHAnsi" w:hAnsiTheme="minorHAnsi"/>
          <w:b/>
          <w:sz w:val="22"/>
        </w:rPr>
        <w:t>,</w:t>
      </w:r>
      <w:r w:rsidR="003924F6" w:rsidRPr="00E16738">
        <w:rPr>
          <w:rFonts w:asciiTheme="minorHAnsi" w:hAnsiTheme="minorHAnsi"/>
          <w:b/>
          <w:sz w:val="22"/>
        </w:rPr>
        <w:t xml:space="preserve"> </w:t>
      </w:r>
      <w:r w:rsidR="00840AEB" w:rsidRPr="00E16738">
        <w:rPr>
          <w:rFonts w:asciiTheme="minorHAnsi" w:hAnsiTheme="minorHAnsi"/>
          <w:b/>
          <w:sz w:val="22"/>
        </w:rPr>
        <w:t xml:space="preserve">and </w:t>
      </w:r>
      <w:r w:rsidR="003924F6" w:rsidRPr="00E16738">
        <w:rPr>
          <w:rFonts w:asciiTheme="minorHAnsi" w:hAnsiTheme="minorHAnsi"/>
          <w:b/>
          <w:sz w:val="22"/>
        </w:rPr>
        <w:t>unpack the process of mainstreaming</w:t>
      </w:r>
      <w:r w:rsidR="003924F6" w:rsidRPr="00E16738">
        <w:rPr>
          <w:rFonts w:asciiTheme="minorHAnsi" w:hAnsiTheme="minorHAnsi"/>
          <w:sz w:val="22"/>
        </w:rPr>
        <w:t xml:space="preserve"> to help governments at all levels mainstream climate and disaster risk into development poli</w:t>
      </w:r>
      <w:r w:rsidR="00D43317" w:rsidRPr="00E16738">
        <w:rPr>
          <w:rFonts w:asciiTheme="minorHAnsi" w:hAnsiTheme="minorHAnsi"/>
          <w:sz w:val="22"/>
        </w:rPr>
        <w:t>cy, planning, budgeting, programming</w:t>
      </w:r>
      <w:r w:rsidR="003924F6" w:rsidRPr="00E16738">
        <w:rPr>
          <w:rFonts w:asciiTheme="minorHAnsi" w:hAnsiTheme="minorHAnsi"/>
          <w:sz w:val="22"/>
        </w:rPr>
        <w:t>,</w:t>
      </w:r>
      <w:r w:rsidR="00D43317" w:rsidRPr="00E16738">
        <w:rPr>
          <w:rFonts w:asciiTheme="minorHAnsi" w:hAnsiTheme="minorHAnsi"/>
          <w:sz w:val="22"/>
        </w:rPr>
        <w:t xml:space="preserve"> implementation, </w:t>
      </w:r>
      <w:r w:rsidR="003924F6" w:rsidRPr="00E16738">
        <w:rPr>
          <w:rFonts w:asciiTheme="minorHAnsi" w:hAnsiTheme="minorHAnsi"/>
          <w:sz w:val="22"/>
        </w:rPr>
        <w:t xml:space="preserve">monitoring and evaluation. </w:t>
      </w:r>
    </w:p>
    <w:p w14:paraId="77C0E756" w14:textId="63617F44" w:rsidR="00506B9F" w:rsidRPr="00E16738" w:rsidRDefault="00BB0864" w:rsidP="00E16738">
      <w:pPr>
        <w:pStyle w:val="ListParagraph"/>
        <w:numPr>
          <w:ilvl w:val="0"/>
          <w:numId w:val="1"/>
        </w:numPr>
        <w:jc w:val="both"/>
        <w:rPr>
          <w:rFonts w:asciiTheme="minorHAnsi" w:hAnsiTheme="minorHAnsi"/>
          <w:sz w:val="22"/>
        </w:rPr>
      </w:pPr>
      <w:r w:rsidRPr="00E5447C">
        <w:rPr>
          <w:rFonts w:asciiTheme="minorHAnsi" w:hAnsiTheme="minorHAnsi"/>
          <w:b/>
          <w:sz w:val="22"/>
        </w:rPr>
        <w:t xml:space="preserve">It </w:t>
      </w:r>
      <w:r w:rsidR="00E5447C">
        <w:rPr>
          <w:rFonts w:asciiTheme="minorHAnsi" w:hAnsiTheme="minorHAnsi"/>
          <w:b/>
          <w:sz w:val="22"/>
        </w:rPr>
        <w:t>aims to build commitment for</w:t>
      </w:r>
      <w:r w:rsidR="00E16738" w:rsidRPr="00E5447C">
        <w:rPr>
          <w:rFonts w:asciiTheme="minorHAnsi" w:hAnsiTheme="minorHAnsi"/>
          <w:b/>
          <w:sz w:val="22"/>
        </w:rPr>
        <w:t xml:space="preserve"> </w:t>
      </w:r>
      <w:r w:rsidR="00E5447C" w:rsidRPr="00E5447C">
        <w:rPr>
          <w:rFonts w:asciiTheme="minorHAnsi" w:hAnsiTheme="minorHAnsi"/>
          <w:b/>
          <w:sz w:val="22"/>
        </w:rPr>
        <w:t>risk informed development</w:t>
      </w:r>
      <w:r w:rsidR="00E5447C">
        <w:rPr>
          <w:rFonts w:asciiTheme="minorHAnsi" w:hAnsiTheme="minorHAnsi"/>
          <w:sz w:val="22"/>
        </w:rPr>
        <w:t xml:space="preserve"> as a way </w:t>
      </w:r>
      <w:r w:rsidR="00E16738" w:rsidRPr="00E16738">
        <w:rPr>
          <w:rFonts w:asciiTheme="minorHAnsi" w:hAnsiTheme="minorHAnsi"/>
          <w:sz w:val="22"/>
        </w:rPr>
        <w:t>to: i) protect</w:t>
      </w:r>
      <w:r w:rsidR="004C2673" w:rsidRPr="00E16738">
        <w:rPr>
          <w:rFonts w:asciiTheme="minorHAnsi" w:hAnsiTheme="minorHAnsi"/>
          <w:sz w:val="22"/>
        </w:rPr>
        <w:t xml:space="preserve"> development gains</w:t>
      </w:r>
      <w:r w:rsidR="00E16738" w:rsidRPr="00E16738">
        <w:rPr>
          <w:rFonts w:asciiTheme="minorHAnsi" w:hAnsiTheme="minorHAnsi"/>
          <w:sz w:val="22"/>
        </w:rPr>
        <w:t>; ii)</w:t>
      </w:r>
      <w:r w:rsidR="004C2673" w:rsidRPr="00E16738">
        <w:rPr>
          <w:rFonts w:asciiTheme="minorHAnsi" w:hAnsiTheme="minorHAnsi"/>
          <w:sz w:val="22"/>
        </w:rPr>
        <w:t xml:space="preserve"> </w:t>
      </w:r>
      <w:r w:rsidRPr="00E16738">
        <w:rPr>
          <w:rFonts w:asciiTheme="minorHAnsi" w:hAnsiTheme="minorHAnsi"/>
          <w:sz w:val="22"/>
        </w:rPr>
        <w:t xml:space="preserve">reduce vulnerability to </w:t>
      </w:r>
      <w:r w:rsidR="00E5447C">
        <w:rPr>
          <w:rFonts w:asciiTheme="minorHAnsi" w:hAnsiTheme="minorHAnsi"/>
          <w:sz w:val="22"/>
        </w:rPr>
        <w:t xml:space="preserve">existing and new </w:t>
      </w:r>
      <w:r w:rsidRPr="00E16738">
        <w:rPr>
          <w:rFonts w:asciiTheme="minorHAnsi" w:hAnsiTheme="minorHAnsi"/>
          <w:sz w:val="22"/>
        </w:rPr>
        <w:t xml:space="preserve">climate </w:t>
      </w:r>
      <w:r w:rsidR="009868E7">
        <w:rPr>
          <w:rFonts w:asciiTheme="minorHAnsi" w:hAnsiTheme="minorHAnsi"/>
          <w:sz w:val="22"/>
        </w:rPr>
        <w:t xml:space="preserve">change </w:t>
      </w:r>
      <w:r w:rsidRPr="00E16738">
        <w:rPr>
          <w:rFonts w:asciiTheme="minorHAnsi" w:hAnsiTheme="minorHAnsi"/>
          <w:sz w:val="22"/>
        </w:rPr>
        <w:t>and disaster risks</w:t>
      </w:r>
      <w:r w:rsidR="00E5447C">
        <w:rPr>
          <w:rFonts w:asciiTheme="minorHAnsi" w:hAnsiTheme="minorHAnsi"/>
          <w:sz w:val="22"/>
        </w:rPr>
        <w:t>; and iii)</w:t>
      </w:r>
      <w:r w:rsidRPr="00E16738">
        <w:rPr>
          <w:rFonts w:asciiTheme="minorHAnsi" w:hAnsiTheme="minorHAnsi"/>
          <w:sz w:val="22"/>
        </w:rPr>
        <w:t xml:space="preserve"> enhance adaptive capacity of communities and households. </w:t>
      </w:r>
      <w:r w:rsidR="0072331A" w:rsidRPr="00E16738">
        <w:rPr>
          <w:rFonts w:asciiTheme="minorHAnsi" w:hAnsiTheme="minorHAnsi"/>
          <w:sz w:val="22"/>
        </w:rPr>
        <w:t xml:space="preserve"> </w:t>
      </w:r>
    </w:p>
    <w:p w14:paraId="3AD31A7A" w14:textId="16023A11" w:rsidR="004C2673" w:rsidRPr="004C2673" w:rsidRDefault="00506B9F" w:rsidP="004C2673">
      <w:pPr>
        <w:pStyle w:val="Heading2"/>
      </w:pPr>
      <w:bookmarkStart w:id="23" w:name="_Toc451409695"/>
      <w:bookmarkStart w:id="24" w:name="_Toc451948694"/>
      <w:r>
        <w:t>Objectives</w:t>
      </w:r>
      <w:bookmarkEnd w:id="23"/>
      <w:bookmarkEnd w:id="24"/>
    </w:p>
    <w:p w14:paraId="3634E7C7" w14:textId="229775CD" w:rsidR="00E5447C" w:rsidRPr="008B006C" w:rsidRDefault="00B35FA2" w:rsidP="008B006C">
      <w:pPr>
        <w:jc w:val="both"/>
        <w:rPr>
          <w:i/>
        </w:rPr>
      </w:pPr>
      <w:r w:rsidRPr="00B35FA2">
        <w:rPr>
          <w:b/>
        </w:rPr>
        <w:t>It is important to note that the tool has multiple uses, depending on where a country is with respect to mainstreaming</w:t>
      </w:r>
      <w:r>
        <w:rPr>
          <w:b/>
        </w:rPr>
        <w:t xml:space="preserve">.  </w:t>
      </w:r>
      <w:r>
        <w:t>It can be used: i) as an a</w:t>
      </w:r>
      <w:r w:rsidRPr="006F36DB">
        <w:rPr>
          <w:u w:val="single"/>
        </w:rPr>
        <w:t>dvoca</w:t>
      </w:r>
      <w:r>
        <w:rPr>
          <w:u w:val="single"/>
        </w:rPr>
        <w:t>cy</w:t>
      </w:r>
      <w:r>
        <w:t xml:space="preserve"> </w:t>
      </w:r>
      <w:r w:rsidR="005D16FB">
        <w:t xml:space="preserve">tool </w:t>
      </w:r>
      <w:r>
        <w:t xml:space="preserve">to create support for mainstreaming; ii) an initial </w:t>
      </w:r>
      <w:r w:rsidRPr="006F36DB">
        <w:rPr>
          <w:u w:val="single"/>
        </w:rPr>
        <w:t>diagnostic</w:t>
      </w:r>
      <w:r>
        <w:t xml:space="preserve"> tool (to map the current</w:t>
      </w:r>
      <w:r w:rsidR="00733975">
        <w:t xml:space="preserve"> state of mainstreaming</w:t>
      </w:r>
      <w:r>
        <w:t xml:space="preserve">); iii) to help </w:t>
      </w:r>
      <w:r w:rsidRPr="006F36DB">
        <w:rPr>
          <w:u w:val="single"/>
        </w:rPr>
        <w:t>operationalise</w:t>
      </w:r>
      <w:r>
        <w:t xml:space="preserve"> mainstreaming and identify priority entry points; and</w:t>
      </w:r>
      <w:r w:rsidR="005D16FB">
        <w:t>/or</w:t>
      </w:r>
      <w:r>
        <w:t xml:space="preserve"> iv) as a checklist to </w:t>
      </w:r>
      <w:r w:rsidR="00733975">
        <w:t xml:space="preserve">monitor </w:t>
      </w:r>
      <w:r>
        <w:t xml:space="preserve">progress.  These multiple applications are explained further in </w:t>
      </w:r>
      <w:r w:rsidRPr="00E5447C">
        <w:rPr>
          <w:i/>
        </w:rPr>
        <w:t xml:space="preserve">Section </w:t>
      </w:r>
      <w:r w:rsidR="00E5447C" w:rsidRPr="00E5447C">
        <w:rPr>
          <w:i/>
        </w:rPr>
        <w:t>5.</w:t>
      </w:r>
    </w:p>
    <w:p w14:paraId="288FFF28" w14:textId="60C30F75" w:rsidR="00E018E1" w:rsidRPr="00BF4BDC" w:rsidRDefault="00B35FA2" w:rsidP="00E018E1">
      <w:pPr>
        <w:rPr>
          <w:b/>
          <w:i/>
        </w:rPr>
      </w:pPr>
      <w:r w:rsidRPr="00BF4BDC">
        <w:rPr>
          <w:b/>
        </w:rPr>
        <w:t xml:space="preserve">Common </w:t>
      </w:r>
      <w:r w:rsidR="00E018E1" w:rsidRPr="00BF4BDC">
        <w:rPr>
          <w:b/>
        </w:rPr>
        <w:t xml:space="preserve">objectives </w:t>
      </w:r>
      <w:r w:rsidR="005A6B60" w:rsidRPr="00BF4BDC">
        <w:rPr>
          <w:b/>
        </w:rPr>
        <w:t xml:space="preserve">of the tool </w:t>
      </w:r>
      <w:r w:rsidRPr="00BF4BDC">
        <w:rPr>
          <w:b/>
        </w:rPr>
        <w:t xml:space="preserve">across these </w:t>
      </w:r>
      <w:r w:rsidR="005D16FB" w:rsidRPr="00BF4BDC">
        <w:rPr>
          <w:b/>
        </w:rPr>
        <w:t xml:space="preserve">different </w:t>
      </w:r>
      <w:r w:rsidRPr="00BF4BDC">
        <w:rPr>
          <w:b/>
        </w:rPr>
        <w:t xml:space="preserve">applications </w:t>
      </w:r>
      <w:r w:rsidR="00E018E1" w:rsidRPr="00BF4BDC">
        <w:rPr>
          <w:b/>
        </w:rPr>
        <w:t>are as follows:</w:t>
      </w:r>
      <w:r w:rsidR="004C2673" w:rsidRPr="00BF4BDC">
        <w:rPr>
          <w:b/>
        </w:rPr>
        <w:t xml:space="preserve"> </w:t>
      </w:r>
    </w:p>
    <w:p w14:paraId="1A2B31FC" w14:textId="144805FB" w:rsidR="00B77BAC" w:rsidRPr="004A114A" w:rsidRDefault="00E018E1" w:rsidP="00E5447C">
      <w:pPr>
        <w:pStyle w:val="ListParagraph"/>
        <w:numPr>
          <w:ilvl w:val="0"/>
          <w:numId w:val="8"/>
        </w:numPr>
        <w:jc w:val="both"/>
        <w:rPr>
          <w:rFonts w:asciiTheme="minorHAnsi" w:hAnsiTheme="minorHAnsi"/>
          <w:color w:val="ED7D31" w:themeColor="accent2"/>
          <w:sz w:val="22"/>
        </w:rPr>
      </w:pPr>
      <w:r w:rsidRPr="004A114A">
        <w:rPr>
          <w:rFonts w:asciiTheme="minorHAnsi" w:hAnsiTheme="minorHAnsi"/>
          <w:b/>
          <w:color w:val="ED7D31" w:themeColor="accent2"/>
          <w:sz w:val="22"/>
        </w:rPr>
        <w:t xml:space="preserve">To help </w:t>
      </w:r>
      <w:r w:rsidR="005A6B60">
        <w:rPr>
          <w:rFonts w:asciiTheme="minorHAnsi" w:hAnsiTheme="minorHAnsi"/>
          <w:b/>
          <w:color w:val="ED7D31" w:themeColor="accent2"/>
          <w:sz w:val="22"/>
        </w:rPr>
        <w:t xml:space="preserve">development </w:t>
      </w:r>
      <w:r w:rsidRPr="004A114A">
        <w:rPr>
          <w:rFonts w:asciiTheme="minorHAnsi" w:hAnsiTheme="minorHAnsi"/>
          <w:b/>
          <w:color w:val="ED7D31" w:themeColor="accent2"/>
          <w:sz w:val="22"/>
        </w:rPr>
        <w:t xml:space="preserve">practitioners </w:t>
      </w:r>
      <w:r w:rsidR="005A6B60">
        <w:rPr>
          <w:rFonts w:asciiTheme="minorHAnsi" w:hAnsiTheme="minorHAnsi"/>
          <w:b/>
          <w:color w:val="ED7D31" w:themeColor="accent2"/>
          <w:sz w:val="22"/>
        </w:rPr>
        <w:t>mainstream</w:t>
      </w:r>
      <w:r w:rsidRPr="004A114A">
        <w:rPr>
          <w:rFonts w:asciiTheme="minorHAnsi" w:hAnsiTheme="minorHAnsi"/>
          <w:b/>
          <w:color w:val="ED7D31" w:themeColor="accent2"/>
          <w:sz w:val="22"/>
        </w:rPr>
        <w:t xml:space="preserve"> </w:t>
      </w:r>
      <w:r w:rsidRPr="004A114A">
        <w:rPr>
          <w:rFonts w:asciiTheme="minorHAnsi" w:hAnsiTheme="minorHAnsi"/>
          <w:b/>
          <w:i/>
          <w:color w:val="ED7D31" w:themeColor="accent2"/>
          <w:sz w:val="22"/>
        </w:rPr>
        <w:t xml:space="preserve">both </w:t>
      </w:r>
      <w:r w:rsidRPr="004A114A">
        <w:rPr>
          <w:rFonts w:asciiTheme="minorHAnsi" w:hAnsiTheme="minorHAnsi"/>
          <w:b/>
          <w:color w:val="ED7D31" w:themeColor="accent2"/>
          <w:sz w:val="22"/>
        </w:rPr>
        <w:t>climate and disaster risk</w:t>
      </w:r>
      <w:r w:rsidR="0002543A" w:rsidRPr="004A114A">
        <w:rPr>
          <w:rFonts w:asciiTheme="minorHAnsi" w:hAnsiTheme="minorHAnsi"/>
          <w:color w:val="ED7D31" w:themeColor="accent2"/>
          <w:sz w:val="22"/>
        </w:rPr>
        <w:t xml:space="preserve"> </w:t>
      </w:r>
    </w:p>
    <w:p w14:paraId="2CCB7B24" w14:textId="7ED8E727" w:rsidR="004A114A" w:rsidRPr="009868E7" w:rsidRDefault="004A114A" w:rsidP="009868E7">
      <w:pPr>
        <w:pStyle w:val="ListParagraph"/>
        <w:numPr>
          <w:ilvl w:val="0"/>
          <w:numId w:val="7"/>
        </w:numPr>
        <w:jc w:val="both"/>
        <w:rPr>
          <w:sz w:val="22"/>
        </w:rPr>
      </w:pPr>
      <w:r w:rsidRPr="004A114A">
        <w:rPr>
          <w:rFonts w:asciiTheme="minorHAnsi" w:hAnsiTheme="minorHAnsi"/>
          <w:b/>
          <w:sz w:val="22"/>
        </w:rPr>
        <w:t>To link separate global and regional policy processes</w:t>
      </w:r>
      <w:r w:rsidRPr="004A114A">
        <w:rPr>
          <w:rFonts w:asciiTheme="minorHAnsi" w:hAnsiTheme="minorHAnsi"/>
          <w:sz w:val="22"/>
        </w:rPr>
        <w:t xml:space="preserve"> and help government </w:t>
      </w:r>
      <w:r w:rsidR="00E5447C">
        <w:rPr>
          <w:rFonts w:asciiTheme="minorHAnsi" w:hAnsiTheme="minorHAnsi"/>
          <w:sz w:val="22"/>
        </w:rPr>
        <w:t xml:space="preserve">implement </w:t>
      </w:r>
      <w:r w:rsidRPr="004A114A">
        <w:rPr>
          <w:rFonts w:asciiTheme="minorHAnsi" w:hAnsiTheme="minorHAnsi"/>
          <w:sz w:val="22"/>
        </w:rPr>
        <w:t xml:space="preserve">integrate outcomes of the Sendai framework, the Sustainable Development Goals and the new </w:t>
      </w:r>
      <w:r w:rsidR="009868E7">
        <w:rPr>
          <w:rFonts w:asciiTheme="minorHAnsi" w:hAnsiTheme="minorHAnsi"/>
          <w:sz w:val="22"/>
        </w:rPr>
        <w:t>Paris Climate Change Agreement</w:t>
      </w:r>
      <w:r w:rsidRPr="009868E7">
        <w:rPr>
          <w:rFonts w:asciiTheme="minorHAnsi" w:hAnsiTheme="minorHAnsi"/>
          <w:sz w:val="22"/>
        </w:rPr>
        <w:t>.</w:t>
      </w:r>
    </w:p>
    <w:p w14:paraId="2EA90302" w14:textId="28673BBC" w:rsidR="004C2673" w:rsidRPr="004A114A" w:rsidRDefault="004C2673" w:rsidP="00E5447C">
      <w:pPr>
        <w:pStyle w:val="ListParagraph"/>
        <w:numPr>
          <w:ilvl w:val="0"/>
          <w:numId w:val="7"/>
        </w:numPr>
        <w:jc w:val="both"/>
        <w:rPr>
          <w:rStyle w:val="IntenseEmphasis"/>
          <w:rFonts w:asciiTheme="minorHAnsi" w:hAnsiTheme="minorHAnsi"/>
          <w:bCs w:val="0"/>
          <w:i w:val="0"/>
          <w:iCs w:val="0"/>
          <w:color w:val="ED7D31" w:themeColor="accent2"/>
          <w:sz w:val="22"/>
        </w:rPr>
      </w:pPr>
      <w:r w:rsidRPr="004A114A">
        <w:rPr>
          <w:rFonts w:asciiTheme="minorHAnsi" w:hAnsiTheme="minorHAnsi"/>
          <w:b/>
          <w:color w:val="000000" w:themeColor="text1"/>
          <w:sz w:val="22"/>
        </w:rPr>
        <w:t xml:space="preserve">To </w:t>
      </w:r>
      <w:r w:rsidR="00E5447C">
        <w:rPr>
          <w:rFonts w:asciiTheme="minorHAnsi" w:hAnsiTheme="minorHAnsi"/>
          <w:b/>
          <w:color w:val="000000" w:themeColor="text1"/>
          <w:sz w:val="22"/>
        </w:rPr>
        <w:t xml:space="preserve">overcome silo approaches at national level and </w:t>
      </w:r>
      <w:r w:rsidRPr="004A114A">
        <w:rPr>
          <w:rFonts w:asciiTheme="minorHAnsi" w:hAnsiTheme="minorHAnsi"/>
          <w:b/>
          <w:color w:val="000000" w:themeColor="text1"/>
          <w:sz w:val="22"/>
        </w:rPr>
        <w:t>promote common understanding</w:t>
      </w:r>
      <w:r w:rsidRPr="004A114A">
        <w:rPr>
          <w:rFonts w:asciiTheme="minorHAnsi" w:hAnsiTheme="minorHAnsi"/>
          <w:color w:val="000000" w:themeColor="text1"/>
          <w:sz w:val="22"/>
        </w:rPr>
        <w:t xml:space="preserve"> amongst practitioners on shared goals (i.e. resilient, inclusive and sustainable development)</w:t>
      </w:r>
      <w:r>
        <w:rPr>
          <w:rFonts w:asciiTheme="minorHAnsi" w:hAnsiTheme="minorHAnsi"/>
          <w:color w:val="000000" w:themeColor="text1"/>
          <w:sz w:val="22"/>
        </w:rPr>
        <w:t xml:space="preserve"> under the umbrella of the SDGs</w:t>
      </w:r>
      <w:r w:rsidRPr="004A114A">
        <w:rPr>
          <w:rFonts w:asciiTheme="minorHAnsi" w:hAnsiTheme="minorHAnsi"/>
          <w:color w:val="000000" w:themeColor="text1"/>
          <w:sz w:val="22"/>
        </w:rPr>
        <w:t>.</w:t>
      </w:r>
    </w:p>
    <w:p w14:paraId="039991DB" w14:textId="6D60F6C6" w:rsidR="005A6B60" w:rsidRPr="007B1A2C" w:rsidRDefault="004A114A" w:rsidP="00E5447C">
      <w:pPr>
        <w:pStyle w:val="ListParagraph"/>
        <w:numPr>
          <w:ilvl w:val="0"/>
          <w:numId w:val="9"/>
        </w:numPr>
        <w:spacing w:after="200"/>
        <w:jc w:val="both"/>
        <w:rPr>
          <w:rFonts w:asciiTheme="minorHAnsi" w:hAnsiTheme="minorHAnsi"/>
          <w:color w:val="000000" w:themeColor="text1"/>
          <w:sz w:val="22"/>
        </w:rPr>
      </w:pPr>
      <w:r w:rsidRPr="004A114A">
        <w:rPr>
          <w:rFonts w:asciiTheme="minorHAnsi" w:hAnsiTheme="minorHAnsi"/>
          <w:b/>
          <w:sz w:val="22"/>
        </w:rPr>
        <w:t xml:space="preserve">To risk inform </w:t>
      </w:r>
      <w:r w:rsidR="00E5447C">
        <w:rPr>
          <w:rFonts w:asciiTheme="minorHAnsi" w:hAnsiTheme="minorHAnsi"/>
          <w:b/>
          <w:sz w:val="22"/>
        </w:rPr>
        <w:t xml:space="preserve">implementation and localisation of </w:t>
      </w:r>
      <w:r w:rsidRPr="004A114A">
        <w:rPr>
          <w:rFonts w:asciiTheme="minorHAnsi" w:hAnsiTheme="minorHAnsi"/>
          <w:b/>
          <w:sz w:val="22"/>
        </w:rPr>
        <w:t>the 2030 agenda</w:t>
      </w:r>
      <w:r w:rsidR="00E5447C">
        <w:rPr>
          <w:rFonts w:asciiTheme="minorHAnsi" w:hAnsiTheme="minorHAnsi"/>
          <w:b/>
          <w:sz w:val="22"/>
        </w:rPr>
        <w:t>.</w:t>
      </w:r>
    </w:p>
    <w:p w14:paraId="7F473EA5" w14:textId="77777777" w:rsidR="007B1A2C" w:rsidRPr="00065F52" w:rsidRDefault="007B1A2C" w:rsidP="007B1A2C">
      <w:pPr>
        <w:pStyle w:val="ListParagraph"/>
        <w:numPr>
          <w:ilvl w:val="0"/>
          <w:numId w:val="9"/>
        </w:numPr>
        <w:jc w:val="both"/>
        <w:rPr>
          <w:b/>
          <w:sz w:val="22"/>
        </w:rPr>
      </w:pPr>
      <w:r w:rsidRPr="004A114A">
        <w:rPr>
          <w:rFonts w:asciiTheme="minorHAnsi" w:hAnsiTheme="minorHAnsi"/>
          <w:b/>
          <w:sz w:val="22"/>
        </w:rPr>
        <w:t xml:space="preserve">To promote connection </w:t>
      </w:r>
      <w:r w:rsidRPr="004A114A">
        <w:rPr>
          <w:rFonts w:asciiTheme="minorHAnsi" w:hAnsiTheme="minorHAnsi"/>
          <w:sz w:val="22"/>
        </w:rPr>
        <w:t xml:space="preserve">and shared </w:t>
      </w:r>
      <w:r>
        <w:rPr>
          <w:rFonts w:asciiTheme="minorHAnsi" w:hAnsiTheme="minorHAnsi"/>
          <w:sz w:val="22"/>
        </w:rPr>
        <w:t>vision for the different communities of practice</w:t>
      </w:r>
      <w:r w:rsidRPr="004A114A">
        <w:rPr>
          <w:rFonts w:asciiTheme="minorHAnsi" w:hAnsiTheme="minorHAnsi"/>
          <w:sz w:val="22"/>
        </w:rPr>
        <w:t>.</w:t>
      </w:r>
    </w:p>
    <w:p w14:paraId="4D1C0A22" w14:textId="73158999" w:rsidR="004A114A" w:rsidRPr="004A114A" w:rsidRDefault="004A114A" w:rsidP="00E5447C">
      <w:pPr>
        <w:pStyle w:val="ListParagraph"/>
        <w:numPr>
          <w:ilvl w:val="0"/>
          <w:numId w:val="7"/>
        </w:numPr>
        <w:jc w:val="both"/>
        <w:rPr>
          <w:b/>
          <w:sz w:val="22"/>
        </w:rPr>
      </w:pPr>
      <w:r w:rsidRPr="004A114A">
        <w:rPr>
          <w:rFonts w:asciiTheme="minorHAnsi" w:hAnsiTheme="minorHAnsi"/>
          <w:b/>
          <w:sz w:val="22"/>
        </w:rPr>
        <w:t xml:space="preserve">To overcome integration challenges </w:t>
      </w:r>
      <w:r w:rsidRPr="004A114A">
        <w:rPr>
          <w:rFonts w:asciiTheme="minorHAnsi" w:hAnsiTheme="minorHAnsi"/>
          <w:sz w:val="22"/>
        </w:rPr>
        <w:t>in relation to terminology, concepts and approaches for DRR and CCA.</w:t>
      </w:r>
    </w:p>
    <w:p w14:paraId="3D9B90AC" w14:textId="0C078F9C" w:rsidR="00065F52" w:rsidRDefault="00065F52" w:rsidP="00E5447C">
      <w:pPr>
        <w:pStyle w:val="ListParagraph"/>
        <w:jc w:val="both"/>
        <w:rPr>
          <w:rFonts w:asciiTheme="minorHAnsi" w:hAnsiTheme="minorHAnsi"/>
          <w:b/>
          <w:sz w:val="22"/>
        </w:rPr>
      </w:pPr>
    </w:p>
    <w:p w14:paraId="14DA0094" w14:textId="77777777" w:rsidR="004A114A" w:rsidRPr="0034141B" w:rsidRDefault="004A114A" w:rsidP="00E5447C">
      <w:pPr>
        <w:pStyle w:val="ListParagraph"/>
        <w:ind w:left="360"/>
        <w:jc w:val="both"/>
        <w:rPr>
          <w:rStyle w:val="IntenseEmphasis"/>
          <w:b w:val="0"/>
          <w:bCs w:val="0"/>
          <w:i w:val="0"/>
          <w:iCs w:val="0"/>
          <w:color w:val="ED7D31" w:themeColor="accent2"/>
        </w:rPr>
      </w:pPr>
    </w:p>
    <w:p w14:paraId="055980C7" w14:textId="0E4A410F" w:rsidR="00D43317" w:rsidRPr="00B35FA2" w:rsidRDefault="00447AE6" w:rsidP="00E5447C">
      <w:pPr>
        <w:pStyle w:val="ListParagraph"/>
        <w:numPr>
          <w:ilvl w:val="0"/>
          <w:numId w:val="8"/>
        </w:numPr>
        <w:jc w:val="both"/>
        <w:rPr>
          <w:rFonts w:asciiTheme="minorHAnsi" w:hAnsiTheme="minorHAnsi"/>
          <w:b/>
          <w:color w:val="ED7D31" w:themeColor="accent2"/>
          <w:sz w:val="22"/>
        </w:rPr>
      </w:pPr>
      <w:r w:rsidRPr="00F434C7">
        <w:rPr>
          <w:rFonts w:asciiTheme="minorHAnsi" w:hAnsiTheme="minorHAnsi"/>
          <w:noProof/>
          <w:sz w:val="22"/>
          <w:lang w:val="en-US"/>
        </w:rPr>
        <mc:AlternateContent>
          <mc:Choice Requires="wpg">
            <w:drawing>
              <wp:anchor distT="45720" distB="45720" distL="182880" distR="182880" simplePos="0" relativeHeight="251952128" behindDoc="0" locked="0" layoutInCell="1" allowOverlap="1" wp14:anchorId="7AAAE0B3" wp14:editId="714253E6">
                <wp:simplePos x="0" y="0"/>
                <wp:positionH relativeFrom="margin">
                  <wp:posOffset>3864610</wp:posOffset>
                </wp:positionH>
                <wp:positionV relativeFrom="paragraph">
                  <wp:posOffset>4445</wp:posOffset>
                </wp:positionV>
                <wp:extent cx="2781935" cy="2461895"/>
                <wp:effectExtent l="0" t="0" r="18415" b="14605"/>
                <wp:wrapSquare wrapText="bothSides"/>
                <wp:docPr id="56" name="Group 56"/>
                <wp:cNvGraphicFramePr/>
                <a:graphic xmlns:a="http://schemas.openxmlformats.org/drawingml/2006/main">
                  <a:graphicData uri="http://schemas.microsoft.com/office/word/2010/wordprocessingGroup">
                    <wpg:wgp>
                      <wpg:cNvGrpSpPr/>
                      <wpg:grpSpPr>
                        <a:xfrm>
                          <a:off x="0" y="0"/>
                          <a:ext cx="2781935" cy="2461895"/>
                          <a:chOff x="1" y="0"/>
                          <a:chExt cx="3377466" cy="2621704"/>
                        </a:xfrm>
                      </wpg:grpSpPr>
                      <wps:wsp>
                        <wps:cNvPr id="57" name="Rectangle 57"/>
                        <wps:cNvSpPr/>
                        <wps:spPr>
                          <a:xfrm>
                            <a:off x="1" y="0"/>
                            <a:ext cx="3377466" cy="319686"/>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467926" w14:textId="359C67FD" w:rsidR="00C761F3" w:rsidRDefault="00C761F3" w:rsidP="00447AE6">
                              <w:pPr>
                                <w:jc w:val="center"/>
                                <w:rPr>
                                  <w:rFonts w:asciiTheme="majorHAnsi" w:eastAsiaTheme="majorEastAsia" w:hAnsiTheme="majorHAnsi" w:cstheme="majorBidi"/>
                                  <w:color w:val="FFFFFF" w:themeColor="background1"/>
                                  <w:sz w:val="24"/>
                                  <w:szCs w:val="28"/>
                                </w:rPr>
                              </w:pPr>
                              <w:r w:rsidRPr="00E5447C">
                                <w:rPr>
                                  <w:rFonts w:asciiTheme="majorHAnsi" w:eastAsiaTheme="majorEastAsia" w:hAnsiTheme="majorHAnsi" w:cstheme="majorBidi"/>
                                  <w:color w:val="FFFFFF" w:themeColor="background1"/>
                                  <w:sz w:val="20"/>
                                  <w:szCs w:val="20"/>
                                </w:rPr>
                                <w:t>THE IMPORTANCE OF INTEGRATED</w:t>
                              </w:r>
                              <w:r>
                                <w:rPr>
                                  <w:rFonts w:asciiTheme="majorHAnsi" w:eastAsiaTheme="majorEastAsia" w:hAnsiTheme="majorHAnsi" w:cstheme="majorBidi"/>
                                  <w:color w:val="FFFFFF" w:themeColor="background1"/>
                                  <w:sz w:val="20"/>
                                  <w:szCs w:val="20"/>
                                </w:rPr>
                                <w:t xml:space="preserve"> APPROACHES</w:t>
                              </w:r>
                              <w:r>
                                <w:rPr>
                                  <w:rFonts w:asciiTheme="majorHAnsi" w:eastAsiaTheme="majorEastAsia" w:hAnsiTheme="majorHAnsi" w:cstheme="majorBidi"/>
                                  <w:color w:val="FFFFFF" w:themeColor="background1"/>
                                  <w:sz w:val="24"/>
                                  <w:szCs w:val="28"/>
                                </w:rPr>
                                <w:t xml:space="preserve"> APPROACHES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1" y="252683"/>
                            <a:ext cx="3377466" cy="2369021"/>
                          </a:xfrm>
                          <a:prstGeom prst="rect">
                            <a:avLst/>
                          </a:prstGeom>
                          <a:no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14:paraId="71A29BFD" w14:textId="61166F54" w:rsidR="00C761F3" w:rsidRPr="00BF4BDC" w:rsidRDefault="00C761F3" w:rsidP="00447AE6">
                              <w:pPr>
                                <w:spacing w:line="240" w:lineRule="auto"/>
                                <w:jc w:val="both"/>
                                <w:rPr>
                                  <w:rFonts w:ascii="Calibri" w:eastAsia="Times New Roman" w:hAnsi="Calibri"/>
                                  <w:i/>
                                  <w:color w:val="000000" w:themeColor="text1"/>
                                  <w:sz w:val="18"/>
                                  <w:szCs w:val="18"/>
                                </w:rPr>
                              </w:pPr>
                              <w:r w:rsidRPr="00BF4BDC">
                                <w:rPr>
                                  <w:sz w:val="18"/>
                                  <w:szCs w:val="18"/>
                                </w:rPr>
                                <w:t>“</w:t>
                              </w:r>
                              <w:r w:rsidRPr="00BF4BDC">
                                <w:rPr>
                                  <w:rFonts w:ascii="Calibri" w:eastAsia="Times New Roman" w:hAnsi="Calibri"/>
                                  <w:i/>
                                  <w:color w:val="000000" w:themeColor="text1"/>
                                  <w:sz w:val="18"/>
                                  <w:szCs w:val="18"/>
                                </w:rPr>
                                <w:t xml:space="preserve">Recently, we just witnessed the </w:t>
                              </w:r>
                              <w:r w:rsidRPr="00BF4BDC">
                                <w:rPr>
                                  <w:rFonts w:ascii="Calibri" w:eastAsia="Times New Roman" w:hAnsi="Calibri"/>
                                  <w:i/>
                                  <w:color w:val="000000" w:themeColor="text1"/>
                                  <w:sz w:val="18"/>
                                  <w:szCs w:val="18"/>
                                  <w:u w:val="single"/>
                                </w:rPr>
                                <w:t>urgency of DRR-CCA convergence</w:t>
                              </w:r>
                              <w:r w:rsidRPr="00BF4BDC">
                                <w:rPr>
                                  <w:rFonts w:ascii="Calibri" w:eastAsia="Times New Roman" w:hAnsi="Calibri"/>
                                  <w:i/>
                                  <w:color w:val="000000" w:themeColor="text1"/>
                                  <w:sz w:val="18"/>
                                  <w:szCs w:val="18"/>
                                </w:rPr>
                                <w:t xml:space="preserve"> implementation at community level. In one village with mountainous landscape, the community had invested in building irrigation facilities for their farming land. One night, there was a heavy rain that caused landslides in several spots in the village including in the spots of several irrigation facilities. The farmers are expecting to harvest the crop in May/June but now, the farmers are facing a possibility of crop failure. Too bad to see how much effort ha</w:t>
                              </w:r>
                              <w:r>
                                <w:rPr>
                                  <w:rFonts w:ascii="Calibri" w:eastAsia="Times New Roman" w:hAnsi="Calibri"/>
                                  <w:i/>
                                  <w:color w:val="000000" w:themeColor="text1"/>
                                  <w:sz w:val="18"/>
                                  <w:szCs w:val="18"/>
                                </w:rPr>
                                <w:t>d</w:t>
                              </w:r>
                              <w:r w:rsidRPr="00BF4BDC">
                                <w:rPr>
                                  <w:rFonts w:ascii="Calibri" w:eastAsia="Times New Roman" w:hAnsi="Calibri"/>
                                  <w:i/>
                                  <w:color w:val="000000" w:themeColor="text1"/>
                                  <w:sz w:val="18"/>
                                  <w:szCs w:val="18"/>
                                </w:rPr>
                                <w:t xml:space="preserve"> been put by the community to build the irrigation facilities in a landslide prone area. They should have thought about building irrigation facilities and at the same time strengthening the surrounding slopes to protect what they have invested. A lesson to learn” </w:t>
                              </w:r>
                              <w:r w:rsidRPr="00BF4BDC">
                                <w:rPr>
                                  <w:rFonts w:ascii="Calibri" w:eastAsia="Times New Roman" w:hAnsi="Calibri"/>
                                  <w:b/>
                                  <w:i/>
                                  <w:color w:val="000000" w:themeColor="text1"/>
                                  <w:sz w:val="18"/>
                                  <w:szCs w:val="18"/>
                                </w:rPr>
                                <w:t>(Erawan, Indonesia).</w:t>
                              </w:r>
                              <w:r w:rsidRPr="00BF4BDC">
                                <w:rPr>
                                  <w:rFonts w:ascii="Calibri" w:eastAsia="Times New Roman" w:hAnsi="Calibri"/>
                                  <w:i/>
                                  <w:color w:val="000000" w:themeColor="text1"/>
                                  <w:sz w:val="18"/>
                                  <w:szCs w:val="18"/>
                                </w:rPr>
                                <w:t xml:space="preserve"> </w:t>
                              </w:r>
                            </w:p>
                            <w:p w14:paraId="06473C6A" w14:textId="77777777" w:rsidR="00C761F3" w:rsidRDefault="00C761F3" w:rsidP="00447AE6">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AAE0B3" id="Group 56" o:spid="_x0000_s1033" style="position:absolute;left:0;text-align:left;margin-left:304.3pt;margin-top:.35pt;width:219.05pt;height:193.85pt;z-index:251952128;mso-wrap-distance-left:14.4pt;mso-wrap-distance-top:3.6pt;mso-wrap-distance-right:14.4pt;mso-wrap-distance-bottom:3.6pt;mso-position-horizontal-relative:margin;mso-width-relative:margin;mso-height-relative:margin" coordorigin="" coordsize="33774,2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">
                <v:rect id="Rectangle 57" o:spid="_x0000_s1034" style="position:absolute;width:33774;height:3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PY8QA&#10;AADbAAAADwAAAGRycy9kb3ducmV2LnhtbESPQUsDMRSE74L/IbyCtzZb0arbpqUKgr1UrdLzY/NM&#10;Fjcvyybupv31TaHgcZiZb5jFKrlG9NSF2rOC6aQAQVx5XbNR8P31On4EESKyxsYzKThQgNXy+mqB&#10;pfYDf1K/i0ZkCIcSFdgY21LKUFlyGCa+Jc7ej+8cxiw7I3WHQ4a7Rt4WxUw6rDkvWGzpxVL1u/tz&#10;Cp5NbwrbfwzrbcJ6856O+6e7o1I3o7Seg4iU4n/40n7TCu4f4Pwl/wC5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OD2PEAAAA2wAAAA8AAAAAAAAAAAAAAAAAmAIAAGRycy9k&#10;b3ducmV2LnhtbFBLBQYAAAAABAAEAPUAAACJAwAAAAA=&#10;" fillcolor="#ed7d31 [3205]" strokecolor="#ed7d31 [3205]" strokeweight="1pt">
                  <v:textbox>
                    <w:txbxContent>
                      <w:p w14:paraId="73467926" w14:textId="359C67FD" w:rsidR="00C761F3" w:rsidRDefault="00C761F3" w:rsidP="00447AE6">
                        <w:pPr>
                          <w:jc w:val="center"/>
                          <w:rPr>
                            <w:rFonts w:asciiTheme="majorHAnsi" w:eastAsiaTheme="majorEastAsia" w:hAnsiTheme="majorHAnsi" w:cstheme="majorBidi"/>
                            <w:color w:val="FFFFFF" w:themeColor="background1"/>
                            <w:sz w:val="24"/>
                            <w:szCs w:val="28"/>
                          </w:rPr>
                        </w:pPr>
                        <w:r w:rsidRPr="00E5447C">
                          <w:rPr>
                            <w:rFonts w:asciiTheme="majorHAnsi" w:eastAsiaTheme="majorEastAsia" w:hAnsiTheme="majorHAnsi" w:cstheme="majorBidi"/>
                            <w:color w:val="FFFFFF" w:themeColor="background1"/>
                            <w:sz w:val="20"/>
                            <w:szCs w:val="20"/>
                          </w:rPr>
                          <w:t>THE IMPORTANCE OF INTEGRATED</w:t>
                        </w:r>
                        <w:r>
                          <w:rPr>
                            <w:rFonts w:asciiTheme="majorHAnsi" w:eastAsiaTheme="majorEastAsia" w:hAnsiTheme="majorHAnsi" w:cstheme="majorBidi"/>
                            <w:color w:val="FFFFFF" w:themeColor="background1"/>
                            <w:sz w:val="20"/>
                            <w:szCs w:val="20"/>
                          </w:rPr>
                          <w:t xml:space="preserve"> APPROACHES</w:t>
                        </w:r>
                        <w:r>
                          <w:rPr>
                            <w:rFonts w:asciiTheme="majorHAnsi" w:eastAsiaTheme="majorEastAsia" w:hAnsiTheme="majorHAnsi" w:cstheme="majorBidi"/>
                            <w:color w:val="FFFFFF" w:themeColor="background1"/>
                            <w:sz w:val="24"/>
                            <w:szCs w:val="28"/>
                          </w:rPr>
                          <w:t xml:space="preserve"> APPROACHES</w:t>
                        </w:r>
                      </w:p>
                    </w:txbxContent>
                  </v:textbox>
                </v:rect>
                <v:shape id="Text Box 58" o:spid="_x0000_s1035" type="#_x0000_t202" style="position:absolute;top:2526;width:33774;height:23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2ksIA&#10;AADbAAAADwAAAGRycy9kb3ducmV2LnhtbERPz2vCMBS+C/sfwht4kTWdMJGusYzBUIQdZgW326N5&#10;NqXNS2mirfvrl8PA48f3Oy8m24krDb5xrOA5SUEQV043XCs4lh9PaxA+IGvsHJOCG3koNg+zHDPt&#10;Rv6i6yHUIoawz1CBCaHPpPSVIYs+cT1x5M5usBgiHGqpBxxjuO3kMk1X0mLDscFgT++GqvZwsQq2&#10;2N4+p/q72o9nz+b0U+rfRanU/HF6ewURaAp38b97pxW8xLHx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TaSwgAAANsAAAAPAAAAAAAAAAAAAAAAAJgCAABkcnMvZG93&#10;bnJldi54bWxQSwUGAAAAAAQABAD1AAAAhwMAAAAA&#10;" filled="f" strokecolor="#ed7d31 [3205]" strokeweight=".5pt">
                  <v:textbox inset=",7.2pt,,0">
                    <w:txbxContent>
                      <w:p w14:paraId="71A29BFD" w14:textId="61166F54" w:rsidR="00C761F3" w:rsidRPr="00BF4BDC" w:rsidRDefault="00C761F3" w:rsidP="00447AE6">
                        <w:pPr>
                          <w:spacing w:line="240" w:lineRule="auto"/>
                          <w:jc w:val="both"/>
                          <w:rPr>
                            <w:rFonts w:ascii="Calibri" w:eastAsia="Times New Roman" w:hAnsi="Calibri"/>
                            <w:i/>
                            <w:color w:val="000000" w:themeColor="text1"/>
                            <w:sz w:val="18"/>
                            <w:szCs w:val="18"/>
                          </w:rPr>
                        </w:pPr>
                        <w:r w:rsidRPr="00BF4BDC">
                          <w:rPr>
                            <w:sz w:val="18"/>
                            <w:szCs w:val="18"/>
                          </w:rPr>
                          <w:t>“</w:t>
                        </w:r>
                        <w:r w:rsidRPr="00BF4BDC">
                          <w:rPr>
                            <w:rFonts w:ascii="Calibri" w:eastAsia="Times New Roman" w:hAnsi="Calibri"/>
                            <w:i/>
                            <w:color w:val="000000" w:themeColor="text1"/>
                            <w:sz w:val="18"/>
                            <w:szCs w:val="18"/>
                          </w:rPr>
                          <w:t xml:space="preserve">Recently, we just witnessed the </w:t>
                        </w:r>
                        <w:r w:rsidRPr="00BF4BDC">
                          <w:rPr>
                            <w:rFonts w:ascii="Calibri" w:eastAsia="Times New Roman" w:hAnsi="Calibri"/>
                            <w:i/>
                            <w:color w:val="000000" w:themeColor="text1"/>
                            <w:sz w:val="18"/>
                            <w:szCs w:val="18"/>
                            <w:u w:val="single"/>
                          </w:rPr>
                          <w:t>urgency of DRR-CCA convergence</w:t>
                        </w:r>
                        <w:r w:rsidRPr="00BF4BDC">
                          <w:rPr>
                            <w:rFonts w:ascii="Calibri" w:eastAsia="Times New Roman" w:hAnsi="Calibri"/>
                            <w:i/>
                            <w:color w:val="000000" w:themeColor="text1"/>
                            <w:sz w:val="18"/>
                            <w:szCs w:val="18"/>
                          </w:rPr>
                          <w:t xml:space="preserve"> implementation at community level. In one village with mountainous landscape, the community had invested in building irrigation facilities for their farming land. One night, there was a heavy rain that caused landslides in several spots in the village including in the spots of several irrigation facilities. The farmers are expecting to harvest the crop in May/June but now, the farmers are facing a possibility of crop failure. Too bad to see how much effort ha</w:t>
                        </w:r>
                        <w:r>
                          <w:rPr>
                            <w:rFonts w:ascii="Calibri" w:eastAsia="Times New Roman" w:hAnsi="Calibri"/>
                            <w:i/>
                            <w:color w:val="000000" w:themeColor="text1"/>
                            <w:sz w:val="18"/>
                            <w:szCs w:val="18"/>
                          </w:rPr>
                          <w:t>d</w:t>
                        </w:r>
                        <w:r w:rsidRPr="00BF4BDC">
                          <w:rPr>
                            <w:rFonts w:ascii="Calibri" w:eastAsia="Times New Roman" w:hAnsi="Calibri"/>
                            <w:i/>
                            <w:color w:val="000000" w:themeColor="text1"/>
                            <w:sz w:val="18"/>
                            <w:szCs w:val="18"/>
                          </w:rPr>
                          <w:t xml:space="preserve"> been put by the community to build the irrigation facilities in a landslide prone area. They should have thought about building irrigation facilities and at the same time strengthening the surrounding slopes to protect what they have invested. A lesson to learn” </w:t>
                        </w:r>
                        <w:r w:rsidRPr="00BF4BDC">
                          <w:rPr>
                            <w:rFonts w:ascii="Calibri" w:eastAsia="Times New Roman" w:hAnsi="Calibri"/>
                            <w:b/>
                            <w:i/>
                            <w:color w:val="000000" w:themeColor="text1"/>
                            <w:sz w:val="18"/>
                            <w:szCs w:val="18"/>
                          </w:rPr>
                          <w:t>(Erawan, Indonesia).</w:t>
                        </w:r>
                        <w:r w:rsidRPr="00BF4BDC">
                          <w:rPr>
                            <w:rFonts w:ascii="Calibri" w:eastAsia="Times New Roman" w:hAnsi="Calibri"/>
                            <w:i/>
                            <w:color w:val="000000" w:themeColor="text1"/>
                            <w:sz w:val="18"/>
                            <w:szCs w:val="18"/>
                          </w:rPr>
                          <w:t xml:space="preserve"> </w:t>
                        </w:r>
                      </w:p>
                      <w:p w14:paraId="06473C6A" w14:textId="77777777" w:rsidR="00C761F3" w:rsidRDefault="00C761F3" w:rsidP="00447AE6">
                        <w:pPr>
                          <w:rPr>
                            <w:caps/>
                            <w:color w:val="5B9BD5" w:themeColor="accent1"/>
                            <w:sz w:val="26"/>
                            <w:szCs w:val="26"/>
                          </w:rPr>
                        </w:pPr>
                      </w:p>
                    </w:txbxContent>
                  </v:textbox>
                </v:shape>
                <w10:wrap type="square" anchorx="margin"/>
              </v:group>
            </w:pict>
          </mc:Fallback>
        </mc:AlternateContent>
      </w:r>
      <w:r w:rsidR="00D43317" w:rsidRPr="00B35FA2">
        <w:rPr>
          <w:rFonts w:asciiTheme="minorHAnsi" w:hAnsiTheme="minorHAnsi"/>
          <w:b/>
          <w:color w:val="ED7D31" w:themeColor="accent2"/>
          <w:sz w:val="22"/>
        </w:rPr>
        <w:t xml:space="preserve">To </w:t>
      </w:r>
      <w:r w:rsidR="005A6B60">
        <w:rPr>
          <w:rFonts w:asciiTheme="minorHAnsi" w:hAnsiTheme="minorHAnsi"/>
          <w:b/>
          <w:color w:val="ED7D31" w:themeColor="accent2"/>
          <w:sz w:val="22"/>
        </w:rPr>
        <w:t>develop</w:t>
      </w:r>
      <w:r w:rsidR="00D43317" w:rsidRPr="00B35FA2">
        <w:rPr>
          <w:rFonts w:asciiTheme="minorHAnsi" w:hAnsiTheme="minorHAnsi"/>
          <w:b/>
          <w:color w:val="ED7D31" w:themeColor="accent2"/>
          <w:sz w:val="22"/>
        </w:rPr>
        <w:t xml:space="preserve"> int</w:t>
      </w:r>
      <w:r w:rsidR="005A6B60">
        <w:rPr>
          <w:rFonts w:asciiTheme="minorHAnsi" w:hAnsiTheme="minorHAnsi"/>
          <w:b/>
          <w:color w:val="ED7D31" w:themeColor="accent2"/>
          <w:sz w:val="22"/>
        </w:rPr>
        <w:t>egrated approaches to mainstreaming</w:t>
      </w:r>
    </w:p>
    <w:p w14:paraId="7BD57E21" w14:textId="0B87A708" w:rsidR="004A114A" w:rsidRPr="004A114A" w:rsidRDefault="004A114A" w:rsidP="00E5447C">
      <w:pPr>
        <w:pStyle w:val="ListParagraph"/>
        <w:numPr>
          <w:ilvl w:val="0"/>
          <w:numId w:val="9"/>
        </w:numPr>
        <w:spacing w:after="200"/>
        <w:jc w:val="both"/>
        <w:rPr>
          <w:rFonts w:asciiTheme="minorHAnsi" w:hAnsiTheme="minorHAnsi"/>
          <w:color w:val="000000" w:themeColor="text1"/>
          <w:sz w:val="22"/>
        </w:rPr>
      </w:pPr>
      <w:r w:rsidRPr="004A114A">
        <w:rPr>
          <w:rFonts w:asciiTheme="minorHAnsi" w:hAnsiTheme="minorHAnsi"/>
          <w:b/>
          <w:color w:val="000000" w:themeColor="text1"/>
          <w:sz w:val="22"/>
        </w:rPr>
        <w:t xml:space="preserve">To </w:t>
      </w:r>
      <w:r w:rsidR="005A6B60">
        <w:rPr>
          <w:rFonts w:asciiTheme="minorHAnsi" w:hAnsiTheme="minorHAnsi"/>
          <w:b/>
          <w:color w:val="000000" w:themeColor="text1"/>
          <w:sz w:val="22"/>
        </w:rPr>
        <w:t xml:space="preserve">provide a common language and action framework </w:t>
      </w:r>
      <w:r w:rsidR="005A6B60">
        <w:rPr>
          <w:rFonts w:asciiTheme="minorHAnsi" w:hAnsiTheme="minorHAnsi"/>
          <w:color w:val="000000" w:themeColor="text1"/>
          <w:sz w:val="22"/>
        </w:rPr>
        <w:t xml:space="preserve">to </w:t>
      </w:r>
      <w:r w:rsidRPr="005A6B60">
        <w:rPr>
          <w:rFonts w:asciiTheme="minorHAnsi" w:hAnsiTheme="minorHAnsi"/>
          <w:color w:val="000000" w:themeColor="text1"/>
          <w:sz w:val="22"/>
        </w:rPr>
        <w:t>support coheren</w:t>
      </w:r>
      <w:r w:rsidR="007B1A2C">
        <w:rPr>
          <w:rFonts w:asciiTheme="minorHAnsi" w:hAnsiTheme="minorHAnsi"/>
          <w:color w:val="000000" w:themeColor="text1"/>
          <w:sz w:val="22"/>
        </w:rPr>
        <w:t>t</w:t>
      </w:r>
      <w:r w:rsidRPr="005A6B60">
        <w:rPr>
          <w:rFonts w:asciiTheme="minorHAnsi" w:hAnsiTheme="minorHAnsi"/>
          <w:color w:val="000000" w:themeColor="text1"/>
          <w:sz w:val="22"/>
        </w:rPr>
        <w:t xml:space="preserve"> and coordinat</w:t>
      </w:r>
      <w:r w:rsidR="005A6B60">
        <w:rPr>
          <w:rFonts w:asciiTheme="minorHAnsi" w:hAnsiTheme="minorHAnsi"/>
          <w:color w:val="000000" w:themeColor="text1"/>
          <w:sz w:val="22"/>
        </w:rPr>
        <w:t>ed</w:t>
      </w:r>
      <w:r w:rsidRPr="004A114A">
        <w:rPr>
          <w:rFonts w:asciiTheme="minorHAnsi" w:hAnsiTheme="minorHAnsi"/>
          <w:color w:val="000000" w:themeColor="text1"/>
          <w:sz w:val="22"/>
        </w:rPr>
        <w:t xml:space="preserve"> </w:t>
      </w:r>
      <w:r w:rsidR="005A6B60">
        <w:rPr>
          <w:rFonts w:asciiTheme="minorHAnsi" w:hAnsiTheme="minorHAnsi"/>
          <w:color w:val="000000" w:themeColor="text1"/>
          <w:sz w:val="22"/>
        </w:rPr>
        <w:t>mainstreaming.</w:t>
      </w:r>
    </w:p>
    <w:p w14:paraId="4854A229" w14:textId="3AB6521C" w:rsidR="004A114A" w:rsidRPr="004A114A" w:rsidRDefault="004A114A" w:rsidP="00E5447C">
      <w:pPr>
        <w:pStyle w:val="ListParagraph"/>
        <w:numPr>
          <w:ilvl w:val="0"/>
          <w:numId w:val="9"/>
        </w:numPr>
        <w:jc w:val="both"/>
        <w:rPr>
          <w:rFonts w:asciiTheme="minorHAnsi" w:hAnsiTheme="minorHAnsi"/>
          <w:i/>
          <w:color w:val="000000" w:themeColor="text1"/>
          <w:sz w:val="22"/>
        </w:rPr>
      </w:pPr>
      <w:r w:rsidRPr="004A114A">
        <w:rPr>
          <w:rFonts w:asciiTheme="minorHAnsi" w:hAnsiTheme="minorHAnsi"/>
          <w:b/>
          <w:color w:val="000000" w:themeColor="text1"/>
          <w:sz w:val="22"/>
        </w:rPr>
        <w:t>To provide guidance that acknowledge synergies, similarities and differing priorities</w:t>
      </w:r>
      <w:r w:rsidRPr="004A114A">
        <w:rPr>
          <w:rFonts w:asciiTheme="minorHAnsi" w:hAnsiTheme="minorHAnsi"/>
          <w:i/>
          <w:color w:val="000000" w:themeColor="text1"/>
          <w:sz w:val="22"/>
        </w:rPr>
        <w:t xml:space="preserve">, </w:t>
      </w:r>
      <w:r w:rsidRPr="004A114A">
        <w:rPr>
          <w:rFonts w:asciiTheme="minorHAnsi" w:hAnsiTheme="minorHAnsi"/>
          <w:color w:val="000000" w:themeColor="text1"/>
          <w:sz w:val="22"/>
        </w:rPr>
        <w:t>specificities and nuances of climate and disaster risk.</w:t>
      </w:r>
    </w:p>
    <w:p w14:paraId="71DDE791" w14:textId="446914A8" w:rsidR="004A114A" w:rsidRPr="004A114A" w:rsidRDefault="004A114A" w:rsidP="00E5447C">
      <w:pPr>
        <w:pStyle w:val="ListParagraph"/>
        <w:numPr>
          <w:ilvl w:val="0"/>
          <w:numId w:val="9"/>
        </w:numPr>
        <w:jc w:val="both"/>
        <w:rPr>
          <w:rFonts w:asciiTheme="minorHAnsi" w:hAnsiTheme="minorHAnsi"/>
          <w:i/>
          <w:color w:val="000000" w:themeColor="text1"/>
          <w:sz w:val="22"/>
        </w:rPr>
      </w:pPr>
      <w:r w:rsidRPr="004A114A">
        <w:rPr>
          <w:rFonts w:asciiTheme="minorHAnsi" w:hAnsiTheme="minorHAnsi"/>
          <w:b/>
          <w:sz w:val="22"/>
        </w:rPr>
        <w:t xml:space="preserve">To provide a stronger, unified advocacy message and approach </w:t>
      </w:r>
      <w:r w:rsidRPr="004A114A">
        <w:rPr>
          <w:rFonts w:asciiTheme="minorHAnsi" w:hAnsiTheme="minorHAnsi"/>
          <w:sz w:val="22"/>
        </w:rPr>
        <w:t>for both DRR and CCA to deal with a changing risk landscape.</w:t>
      </w:r>
    </w:p>
    <w:p w14:paraId="7A1AED97" w14:textId="2083E823" w:rsidR="004A114A" w:rsidRPr="005E5F7C" w:rsidRDefault="004A114A" w:rsidP="00E5447C">
      <w:pPr>
        <w:pStyle w:val="ListParagraph"/>
        <w:numPr>
          <w:ilvl w:val="0"/>
          <w:numId w:val="9"/>
        </w:numPr>
        <w:jc w:val="both"/>
        <w:rPr>
          <w:rFonts w:asciiTheme="minorHAnsi" w:hAnsiTheme="minorHAnsi"/>
          <w:b/>
          <w:color w:val="ED7D31" w:themeColor="accent2"/>
          <w:sz w:val="22"/>
        </w:rPr>
      </w:pPr>
      <w:r w:rsidRPr="004A114A">
        <w:rPr>
          <w:rFonts w:asciiTheme="minorHAnsi" w:hAnsiTheme="minorHAnsi"/>
          <w:b/>
          <w:sz w:val="22"/>
        </w:rPr>
        <w:t>To conserve human and financial resources.</w:t>
      </w:r>
    </w:p>
    <w:p w14:paraId="3602C86C" w14:textId="77777777" w:rsidR="00E53F92" w:rsidRPr="00E018E1" w:rsidRDefault="00E53F92" w:rsidP="00E5447C">
      <w:pPr>
        <w:pStyle w:val="ListParagraph"/>
        <w:jc w:val="both"/>
      </w:pPr>
    </w:p>
    <w:p w14:paraId="03A32A68" w14:textId="2C7EB586" w:rsidR="00E018E1" w:rsidRPr="004A114A" w:rsidRDefault="00E018E1" w:rsidP="00E5447C">
      <w:pPr>
        <w:pStyle w:val="ListParagraph"/>
        <w:numPr>
          <w:ilvl w:val="0"/>
          <w:numId w:val="8"/>
        </w:numPr>
        <w:jc w:val="both"/>
        <w:rPr>
          <w:b/>
          <w:color w:val="ED7D31" w:themeColor="accent2"/>
        </w:rPr>
      </w:pPr>
      <w:r w:rsidRPr="0034141B">
        <w:rPr>
          <w:rFonts w:asciiTheme="minorHAnsi" w:hAnsiTheme="minorHAnsi"/>
          <w:b/>
          <w:color w:val="ED7D31" w:themeColor="accent2"/>
          <w:sz w:val="22"/>
        </w:rPr>
        <w:t>To</w:t>
      </w:r>
      <w:r w:rsidR="00B77BAC" w:rsidRPr="0034141B">
        <w:rPr>
          <w:rFonts w:asciiTheme="minorHAnsi" w:hAnsiTheme="minorHAnsi"/>
          <w:b/>
          <w:color w:val="ED7D31" w:themeColor="accent2"/>
          <w:sz w:val="22"/>
        </w:rPr>
        <w:t xml:space="preserve"> support implementation</w:t>
      </w:r>
    </w:p>
    <w:p w14:paraId="5F0E8BBF" w14:textId="5BC798FD" w:rsidR="004A114A" w:rsidRPr="004C2673" w:rsidRDefault="004A114A" w:rsidP="00E5447C">
      <w:pPr>
        <w:pStyle w:val="ListParagraph"/>
        <w:numPr>
          <w:ilvl w:val="0"/>
          <w:numId w:val="10"/>
        </w:numPr>
        <w:jc w:val="both"/>
        <w:rPr>
          <w:b/>
          <w:sz w:val="22"/>
        </w:rPr>
      </w:pPr>
      <w:r w:rsidRPr="004A114A">
        <w:rPr>
          <w:rFonts w:asciiTheme="minorHAnsi" w:hAnsiTheme="minorHAnsi"/>
          <w:b/>
          <w:sz w:val="22"/>
        </w:rPr>
        <w:t xml:space="preserve">To provide practical, evidence-based action oriented guidance </w:t>
      </w:r>
      <w:r w:rsidRPr="004A114A">
        <w:rPr>
          <w:rFonts w:asciiTheme="minorHAnsi" w:hAnsiTheme="minorHAnsi"/>
          <w:sz w:val="22"/>
        </w:rPr>
        <w:t>to help governments at all levels operationalise mainstreaming and incorporate risk into development policies, plans, budgets and projects</w:t>
      </w:r>
      <w:r w:rsidR="007B1A2C">
        <w:rPr>
          <w:rFonts w:asciiTheme="minorHAnsi" w:hAnsiTheme="minorHAnsi"/>
          <w:sz w:val="22"/>
        </w:rPr>
        <w:t xml:space="preserve"> and their implementation</w:t>
      </w:r>
      <w:r w:rsidR="004C2673">
        <w:rPr>
          <w:rFonts w:asciiTheme="minorHAnsi" w:hAnsiTheme="minorHAnsi"/>
          <w:sz w:val="22"/>
        </w:rPr>
        <w:t xml:space="preserve">. </w:t>
      </w:r>
    </w:p>
    <w:p w14:paraId="346D79FB" w14:textId="281982CC" w:rsidR="004C2673" w:rsidRPr="004A114A" w:rsidRDefault="004C2673" w:rsidP="00E5447C">
      <w:pPr>
        <w:pStyle w:val="ListParagraph"/>
        <w:numPr>
          <w:ilvl w:val="0"/>
          <w:numId w:val="10"/>
        </w:numPr>
        <w:jc w:val="both"/>
        <w:rPr>
          <w:b/>
          <w:sz w:val="22"/>
        </w:rPr>
      </w:pPr>
      <w:r>
        <w:rPr>
          <w:rFonts w:asciiTheme="minorHAnsi" w:hAnsiTheme="minorHAnsi"/>
          <w:b/>
          <w:sz w:val="22"/>
        </w:rPr>
        <w:t xml:space="preserve">To provide a generic and adaptable approach </w:t>
      </w:r>
      <w:r>
        <w:rPr>
          <w:rFonts w:asciiTheme="minorHAnsi" w:hAnsiTheme="minorHAnsi"/>
          <w:sz w:val="22"/>
        </w:rPr>
        <w:t>that is not too prescriptive and sufficiently flexible to be tailored to country specifics.</w:t>
      </w:r>
    </w:p>
    <w:p w14:paraId="4C13FB86" w14:textId="17AE26BD" w:rsidR="004A114A" w:rsidRPr="004C2673" w:rsidRDefault="004A114A" w:rsidP="00E5447C">
      <w:pPr>
        <w:pStyle w:val="ListParagraph"/>
        <w:numPr>
          <w:ilvl w:val="0"/>
          <w:numId w:val="10"/>
        </w:numPr>
        <w:jc w:val="both"/>
        <w:rPr>
          <w:b/>
          <w:sz w:val="22"/>
        </w:rPr>
      </w:pPr>
      <w:r w:rsidRPr="004A114A">
        <w:rPr>
          <w:rFonts w:asciiTheme="minorHAnsi" w:hAnsiTheme="minorHAnsi"/>
          <w:b/>
          <w:sz w:val="22"/>
        </w:rPr>
        <w:t xml:space="preserve">To provide an implementation tool </w:t>
      </w:r>
      <w:r w:rsidRPr="004A114A">
        <w:rPr>
          <w:rFonts w:asciiTheme="minorHAnsi" w:hAnsiTheme="minorHAnsi"/>
          <w:sz w:val="22"/>
        </w:rPr>
        <w:t>to translate theory into action in a way that embeds risk at the “heart” of development.</w:t>
      </w:r>
    </w:p>
    <w:p w14:paraId="45125245" w14:textId="455A1447" w:rsidR="004C2673" w:rsidRPr="004A114A" w:rsidRDefault="004C2673" w:rsidP="00E5447C">
      <w:pPr>
        <w:pStyle w:val="ListParagraph"/>
        <w:numPr>
          <w:ilvl w:val="0"/>
          <w:numId w:val="10"/>
        </w:numPr>
        <w:spacing w:after="200"/>
        <w:jc w:val="both"/>
        <w:rPr>
          <w:rFonts w:asciiTheme="minorHAnsi" w:hAnsiTheme="minorHAnsi"/>
          <w:color w:val="000000" w:themeColor="text1"/>
          <w:sz w:val="22"/>
        </w:rPr>
      </w:pPr>
      <w:r w:rsidRPr="004A114A">
        <w:rPr>
          <w:rFonts w:asciiTheme="minorHAnsi" w:hAnsiTheme="minorHAnsi"/>
          <w:b/>
          <w:color w:val="000000" w:themeColor="text1"/>
          <w:sz w:val="22"/>
        </w:rPr>
        <w:t>To identify entry points</w:t>
      </w:r>
      <w:r w:rsidRPr="004A114A">
        <w:rPr>
          <w:rFonts w:asciiTheme="minorHAnsi" w:hAnsiTheme="minorHAnsi"/>
          <w:color w:val="000000" w:themeColor="text1"/>
          <w:sz w:val="22"/>
        </w:rPr>
        <w:t xml:space="preserve"> for implementing risk</w:t>
      </w:r>
      <w:r w:rsidR="000B692F">
        <w:rPr>
          <w:rFonts w:asciiTheme="minorHAnsi" w:hAnsiTheme="minorHAnsi"/>
          <w:color w:val="000000" w:themeColor="text1"/>
          <w:sz w:val="22"/>
        </w:rPr>
        <w:t xml:space="preserve"> management</w:t>
      </w:r>
      <w:r w:rsidRPr="004A114A">
        <w:rPr>
          <w:rFonts w:asciiTheme="minorHAnsi" w:hAnsiTheme="minorHAnsi"/>
          <w:color w:val="000000" w:themeColor="text1"/>
          <w:sz w:val="22"/>
        </w:rPr>
        <w:t xml:space="preserve"> in different context</w:t>
      </w:r>
      <w:r w:rsidR="000B692F">
        <w:rPr>
          <w:rFonts w:asciiTheme="minorHAnsi" w:hAnsiTheme="minorHAnsi"/>
          <w:color w:val="000000" w:themeColor="text1"/>
          <w:sz w:val="22"/>
        </w:rPr>
        <w:t>s</w:t>
      </w:r>
      <w:r w:rsidRPr="004A114A">
        <w:rPr>
          <w:rFonts w:asciiTheme="minorHAnsi" w:hAnsiTheme="minorHAnsi"/>
          <w:color w:val="000000" w:themeColor="text1"/>
          <w:sz w:val="22"/>
        </w:rPr>
        <w:t xml:space="preserve">, levels and sectors. </w:t>
      </w:r>
    </w:p>
    <w:p w14:paraId="7ED141A7" w14:textId="13FD6A05" w:rsidR="004A114A" w:rsidRPr="004A114A" w:rsidRDefault="004A114A" w:rsidP="00E5447C">
      <w:pPr>
        <w:pStyle w:val="ListParagraph"/>
        <w:numPr>
          <w:ilvl w:val="0"/>
          <w:numId w:val="10"/>
        </w:numPr>
        <w:jc w:val="both"/>
        <w:rPr>
          <w:rStyle w:val="IntenseEmphasis"/>
          <w:bCs w:val="0"/>
          <w:i w:val="0"/>
          <w:iCs w:val="0"/>
          <w:color w:val="ED7D31" w:themeColor="accent2"/>
          <w:sz w:val="22"/>
        </w:rPr>
      </w:pPr>
      <w:r w:rsidRPr="004A114A">
        <w:rPr>
          <w:rFonts w:asciiTheme="minorHAnsi" w:hAnsiTheme="minorHAnsi"/>
          <w:b/>
          <w:sz w:val="22"/>
        </w:rPr>
        <w:t xml:space="preserve">To avoid duplication, parallel processes </w:t>
      </w:r>
      <w:r w:rsidRPr="004A114A">
        <w:rPr>
          <w:rFonts w:asciiTheme="minorHAnsi" w:hAnsiTheme="minorHAnsi"/>
          <w:sz w:val="22"/>
        </w:rPr>
        <w:t>and perceptions of risk as an “add-on.”</w:t>
      </w:r>
    </w:p>
    <w:p w14:paraId="5F152276" w14:textId="3048A91B" w:rsidR="00E018E1" w:rsidRDefault="00E018E1" w:rsidP="00E5447C">
      <w:pPr>
        <w:jc w:val="both"/>
      </w:pPr>
    </w:p>
    <w:p w14:paraId="52558D69" w14:textId="312B3960" w:rsidR="0002543A" w:rsidRDefault="0002543A" w:rsidP="00E5447C">
      <w:pPr>
        <w:pStyle w:val="ListParagraph"/>
        <w:numPr>
          <w:ilvl w:val="0"/>
          <w:numId w:val="8"/>
        </w:numPr>
        <w:jc w:val="both"/>
        <w:rPr>
          <w:rFonts w:asciiTheme="minorHAnsi" w:hAnsiTheme="minorHAnsi"/>
          <w:b/>
          <w:color w:val="ED7D31" w:themeColor="accent2"/>
          <w:sz w:val="22"/>
        </w:rPr>
      </w:pPr>
      <w:r w:rsidRPr="0034141B">
        <w:rPr>
          <w:rFonts w:asciiTheme="minorHAnsi" w:hAnsiTheme="minorHAnsi"/>
          <w:b/>
          <w:color w:val="ED7D31" w:themeColor="accent2"/>
          <w:sz w:val="22"/>
        </w:rPr>
        <w:t>To</w:t>
      </w:r>
      <w:r w:rsidR="004C2673">
        <w:rPr>
          <w:rFonts w:asciiTheme="minorHAnsi" w:hAnsiTheme="minorHAnsi"/>
          <w:b/>
          <w:color w:val="ED7D31" w:themeColor="accent2"/>
          <w:sz w:val="22"/>
        </w:rPr>
        <w:t xml:space="preserve"> diagnose mainstreaming status </w:t>
      </w:r>
      <w:r w:rsidR="0034141B" w:rsidRPr="0034141B">
        <w:rPr>
          <w:rFonts w:asciiTheme="minorHAnsi" w:hAnsiTheme="minorHAnsi"/>
          <w:b/>
          <w:color w:val="ED7D31" w:themeColor="accent2"/>
          <w:sz w:val="22"/>
        </w:rPr>
        <w:t>and track progress</w:t>
      </w:r>
      <w:r w:rsidR="001B7729">
        <w:rPr>
          <w:rFonts w:asciiTheme="minorHAnsi" w:hAnsiTheme="minorHAnsi"/>
          <w:b/>
          <w:color w:val="ED7D31" w:themeColor="accent2"/>
          <w:sz w:val="22"/>
        </w:rPr>
        <w:t xml:space="preserve">.  </w:t>
      </w:r>
      <w:r w:rsidRPr="0034141B">
        <w:rPr>
          <w:rFonts w:asciiTheme="minorHAnsi" w:hAnsiTheme="minorHAnsi"/>
          <w:b/>
          <w:color w:val="ED7D31" w:themeColor="accent2"/>
          <w:sz w:val="22"/>
        </w:rPr>
        <w:t xml:space="preserve"> </w:t>
      </w:r>
    </w:p>
    <w:p w14:paraId="1846EAC5" w14:textId="77777777" w:rsidR="004A114A" w:rsidRPr="004A114A" w:rsidRDefault="004A114A" w:rsidP="00507969">
      <w:pPr>
        <w:pStyle w:val="ListParagraph"/>
        <w:numPr>
          <w:ilvl w:val="0"/>
          <w:numId w:val="11"/>
        </w:numPr>
        <w:spacing w:after="200"/>
        <w:jc w:val="both"/>
        <w:rPr>
          <w:rFonts w:asciiTheme="minorHAnsi" w:hAnsiTheme="minorHAnsi"/>
          <w:color w:val="000000" w:themeColor="text1"/>
          <w:sz w:val="22"/>
        </w:rPr>
      </w:pPr>
      <w:r w:rsidRPr="004A114A">
        <w:rPr>
          <w:rFonts w:asciiTheme="minorHAnsi" w:hAnsiTheme="minorHAnsi"/>
          <w:b/>
          <w:color w:val="000000" w:themeColor="text1"/>
          <w:sz w:val="22"/>
        </w:rPr>
        <w:t>To support preparation of a current</w:t>
      </w:r>
      <w:r w:rsidRPr="004A114A">
        <w:rPr>
          <w:rFonts w:asciiTheme="minorHAnsi" w:hAnsiTheme="minorHAnsi"/>
          <w:color w:val="000000" w:themeColor="text1"/>
          <w:sz w:val="22"/>
        </w:rPr>
        <w:t xml:space="preserve"> </w:t>
      </w:r>
      <w:r w:rsidRPr="004A114A">
        <w:rPr>
          <w:rFonts w:asciiTheme="minorHAnsi" w:hAnsiTheme="minorHAnsi"/>
          <w:b/>
          <w:color w:val="000000" w:themeColor="text1"/>
          <w:sz w:val="22"/>
        </w:rPr>
        <w:t>mainstreaming baseline.</w:t>
      </w:r>
      <w:r w:rsidRPr="004A114A">
        <w:rPr>
          <w:rFonts w:asciiTheme="minorHAnsi" w:hAnsiTheme="minorHAnsi"/>
          <w:color w:val="000000" w:themeColor="text1"/>
          <w:sz w:val="22"/>
        </w:rPr>
        <w:t xml:space="preserve"> </w:t>
      </w:r>
    </w:p>
    <w:p w14:paraId="13BB597C" w14:textId="711C53BE" w:rsidR="004A114A" w:rsidRPr="005F42E2" w:rsidRDefault="004A114A" w:rsidP="00507969">
      <w:pPr>
        <w:pStyle w:val="ListParagraph"/>
        <w:numPr>
          <w:ilvl w:val="0"/>
          <w:numId w:val="11"/>
        </w:numPr>
        <w:rPr>
          <w:rFonts w:asciiTheme="minorHAnsi" w:hAnsiTheme="minorHAnsi"/>
          <w:b/>
          <w:color w:val="ED7D31" w:themeColor="accent2"/>
          <w:sz w:val="22"/>
        </w:rPr>
      </w:pPr>
      <w:r w:rsidRPr="004A114A">
        <w:rPr>
          <w:rFonts w:asciiTheme="minorHAnsi" w:hAnsiTheme="minorHAnsi"/>
          <w:b/>
          <w:color w:val="000000" w:themeColor="text1"/>
          <w:sz w:val="22"/>
        </w:rPr>
        <w:t xml:space="preserve">To measure progress </w:t>
      </w:r>
      <w:r w:rsidRPr="004A114A">
        <w:rPr>
          <w:rFonts w:asciiTheme="minorHAnsi" w:hAnsiTheme="minorHAnsi"/>
          <w:color w:val="000000" w:themeColor="text1"/>
          <w:sz w:val="22"/>
        </w:rPr>
        <w:t>towards risk informed development.</w:t>
      </w:r>
    </w:p>
    <w:p w14:paraId="66C5A325" w14:textId="573D297C" w:rsidR="005F42E2" w:rsidRDefault="005F42E2" w:rsidP="005F42E2">
      <w:pPr>
        <w:pStyle w:val="ListParagraph"/>
        <w:rPr>
          <w:rFonts w:asciiTheme="minorHAnsi" w:hAnsiTheme="minorHAnsi"/>
          <w:b/>
          <w:color w:val="ED7D31" w:themeColor="accent2"/>
          <w:sz w:val="22"/>
        </w:rPr>
      </w:pPr>
    </w:p>
    <w:p w14:paraId="606D56E2" w14:textId="32BFAA7F" w:rsidR="004B7578" w:rsidRDefault="004B7578">
      <w:pPr>
        <w:rPr>
          <w:rFonts w:eastAsia="Calibri" w:cs="Times New Roman"/>
          <w:b/>
          <w:color w:val="ED7D31" w:themeColor="accent2"/>
          <w:lang w:val="en-GB" w:bidi="ar-SA"/>
        </w:rPr>
      </w:pPr>
      <w:r>
        <w:rPr>
          <w:b/>
          <w:color w:val="ED7D31" w:themeColor="accent2"/>
        </w:rPr>
        <w:br w:type="page"/>
      </w:r>
    </w:p>
    <w:p w14:paraId="7DFCA4A6" w14:textId="77777777" w:rsidR="004B7578" w:rsidRPr="004A114A" w:rsidRDefault="004B7578" w:rsidP="005F42E2">
      <w:pPr>
        <w:pStyle w:val="ListParagraph"/>
        <w:rPr>
          <w:rFonts w:asciiTheme="minorHAnsi" w:hAnsiTheme="minorHAnsi"/>
          <w:b/>
          <w:color w:val="ED7D31" w:themeColor="accent2"/>
          <w:sz w:val="22"/>
        </w:rPr>
      </w:pPr>
    </w:p>
    <w:p w14:paraId="7419A60C" w14:textId="3873CDF6" w:rsidR="00BD6D74" w:rsidRDefault="00BD6D74" w:rsidP="00BD6D74">
      <w:pPr>
        <w:pStyle w:val="Heading2"/>
      </w:pPr>
      <w:bookmarkStart w:id="25" w:name="_Toc451409696"/>
      <w:bookmarkStart w:id="26" w:name="_Toc451948695"/>
      <w:r>
        <w:t>Scope</w:t>
      </w:r>
      <w:bookmarkEnd w:id="25"/>
      <w:bookmarkEnd w:id="26"/>
    </w:p>
    <w:p w14:paraId="4DB13932" w14:textId="77777777" w:rsidR="004B7578" w:rsidRPr="004B7578" w:rsidRDefault="004B7578" w:rsidP="004B7578"/>
    <w:p w14:paraId="5644F16C" w14:textId="42240D4F" w:rsidR="002D181B" w:rsidRPr="00D43317" w:rsidRDefault="002D181B" w:rsidP="00C86E69">
      <w:pPr>
        <w:pStyle w:val="ListParagraph"/>
        <w:numPr>
          <w:ilvl w:val="0"/>
          <w:numId w:val="2"/>
        </w:numPr>
        <w:jc w:val="both"/>
        <w:rPr>
          <w:rFonts w:asciiTheme="minorHAnsi" w:hAnsiTheme="minorHAnsi"/>
          <w:sz w:val="22"/>
        </w:rPr>
      </w:pPr>
      <w:r w:rsidRPr="00D43317">
        <w:rPr>
          <w:rFonts w:asciiTheme="minorHAnsi" w:hAnsiTheme="minorHAnsi"/>
          <w:b/>
          <w:sz w:val="22"/>
        </w:rPr>
        <w:t>The primary focus of the to</w:t>
      </w:r>
      <w:r w:rsidR="00D43317" w:rsidRPr="00D43317">
        <w:rPr>
          <w:rFonts w:asciiTheme="minorHAnsi" w:hAnsiTheme="minorHAnsi"/>
          <w:b/>
          <w:sz w:val="22"/>
        </w:rPr>
        <w:t>ol is climate and disaster risk</w:t>
      </w:r>
      <w:r w:rsidR="009B6923">
        <w:rPr>
          <w:rFonts w:asciiTheme="minorHAnsi" w:hAnsiTheme="minorHAnsi"/>
          <w:b/>
          <w:sz w:val="22"/>
        </w:rPr>
        <w:t>.</w:t>
      </w:r>
      <w:r w:rsidR="009B6923">
        <w:rPr>
          <w:rFonts w:asciiTheme="minorHAnsi" w:hAnsiTheme="minorHAnsi"/>
          <w:sz w:val="22"/>
        </w:rPr>
        <w:t xml:space="preserve">  H</w:t>
      </w:r>
      <w:r w:rsidR="00DE2103">
        <w:rPr>
          <w:rFonts w:asciiTheme="minorHAnsi" w:hAnsiTheme="minorHAnsi"/>
          <w:sz w:val="22"/>
        </w:rPr>
        <w:t>owever</w:t>
      </w:r>
      <w:r w:rsidR="004C2673">
        <w:rPr>
          <w:rFonts w:asciiTheme="minorHAnsi" w:hAnsiTheme="minorHAnsi"/>
          <w:sz w:val="22"/>
        </w:rPr>
        <w:t>,</w:t>
      </w:r>
      <w:r w:rsidR="00DE2103">
        <w:rPr>
          <w:rFonts w:asciiTheme="minorHAnsi" w:hAnsiTheme="minorHAnsi"/>
          <w:sz w:val="22"/>
        </w:rPr>
        <w:t xml:space="preserve"> </w:t>
      </w:r>
      <w:r w:rsidR="00B35FA2">
        <w:rPr>
          <w:rFonts w:asciiTheme="minorHAnsi" w:hAnsiTheme="minorHAnsi"/>
          <w:sz w:val="22"/>
        </w:rPr>
        <w:t xml:space="preserve">mainstreaming </w:t>
      </w:r>
      <w:r w:rsidR="00733975">
        <w:rPr>
          <w:rFonts w:asciiTheme="minorHAnsi" w:hAnsiTheme="minorHAnsi"/>
          <w:sz w:val="22"/>
        </w:rPr>
        <w:t>DRR and CCA needs to consider the wider</w:t>
      </w:r>
      <w:r w:rsidR="00B35FA2">
        <w:rPr>
          <w:rFonts w:asciiTheme="minorHAnsi" w:hAnsiTheme="minorHAnsi"/>
          <w:sz w:val="22"/>
        </w:rPr>
        <w:t xml:space="preserve"> </w:t>
      </w:r>
      <w:r w:rsidR="0048707E">
        <w:rPr>
          <w:rFonts w:asciiTheme="minorHAnsi" w:hAnsiTheme="minorHAnsi"/>
          <w:sz w:val="22"/>
        </w:rPr>
        <w:t>“risk management” context</w:t>
      </w:r>
      <w:r w:rsidR="00DE4805">
        <w:rPr>
          <w:rFonts w:asciiTheme="minorHAnsi" w:hAnsiTheme="minorHAnsi"/>
          <w:sz w:val="22"/>
        </w:rPr>
        <w:t>.  Th</w:t>
      </w:r>
      <w:r w:rsidR="00B35FA2">
        <w:rPr>
          <w:rFonts w:asciiTheme="minorHAnsi" w:hAnsiTheme="minorHAnsi"/>
          <w:sz w:val="22"/>
        </w:rPr>
        <w:t>erefore</w:t>
      </w:r>
      <w:r w:rsidR="00B83001">
        <w:rPr>
          <w:rFonts w:asciiTheme="minorHAnsi" w:hAnsiTheme="minorHAnsi"/>
          <w:sz w:val="22"/>
        </w:rPr>
        <w:t>,</w:t>
      </w:r>
      <w:r w:rsidR="00B35FA2">
        <w:rPr>
          <w:rFonts w:asciiTheme="minorHAnsi" w:hAnsiTheme="minorHAnsi"/>
          <w:sz w:val="22"/>
        </w:rPr>
        <w:t xml:space="preserve"> the </w:t>
      </w:r>
      <w:r w:rsidR="00DE2103">
        <w:rPr>
          <w:rFonts w:asciiTheme="minorHAnsi" w:hAnsiTheme="minorHAnsi"/>
          <w:sz w:val="22"/>
        </w:rPr>
        <w:t xml:space="preserve">tool takes into account links with </w:t>
      </w:r>
      <w:r w:rsidRPr="00D43317">
        <w:rPr>
          <w:rFonts w:asciiTheme="minorHAnsi" w:hAnsiTheme="minorHAnsi"/>
          <w:sz w:val="22"/>
          <w:u w:val="single"/>
        </w:rPr>
        <w:t>risk</w:t>
      </w:r>
      <w:r w:rsidR="00DE2103">
        <w:rPr>
          <w:rFonts w:asciiTheme="minorHAnsi" w:hAnsiTheme="minorHAnsi"/>
          <w:sz w:val="22"/>
          <w:u w:val="single"/>
        </w:rPr>
        <w:t>s</w:t>
      </w:r>
      <w:r w:rsidRPr="00D43317">
        <w:rPr>
          <w:rFonts w:asciiTheme="minorHAnsi" w:hAnsiTheme="minorHAnsi"/>
          <w:sz w:val="22"/>
          <w:u w:val="single"/>
        </w:rPr>
        <w:t xml:space="preserve"> from other sources</w:t>
      </w:r>
      <w:r w:rsidRPr="00D43317">
        <w:rPr>
          <w:rFonts w:asciiTheme="minorHAnsi" w:hAnsiTheme="minorHAnsi"/>
          <w:b/>
          <w:sz w:val="22"/>
        </w:rPr>
        <w:t xml:space="preserve"> </w:t>
      </w:r>
      <w:r w:rsidRPr="00D43317">
        <w:rPr>
          <w:rFonts w:asciiTheme="minorHAnsi" w:hAnsiTheme="minorHAnsi"/>
          <w:sz w:val="22"/>
        </w:rPr>
        <w:t>including environment</w:t>
      </w:r>
      <w:r w:rsidR="0052206A">
        <w:rPr>
          <w:rFonts w:asciiTheme="minorHAnsi" w:hAnsiTheme="minorHAnsi"/>
          <w:sz w:val="22"/>
        </w:rPr>
        <w:t>, economics</w:t>
      </w:r>
      <w:r w:rsidRPr="00D43317">
        <w:rPr>
          <w:rFonts w:asciiTheme="minorHAnsi" w:hAnsiTheme="minorHAnsi"/>
          <w:sz w:val="22"/>
        </w:rPr>
        <w:t xml:space="preserve"> and conflict</w:t>
      </w:r>
      <w:r w:rsidR="00B35FA2">
        <w:rPr>
          <w:rFonts w:asciiTheme="minorHAnsi" w:hAnsiTheme="minorHAnsi"/>
          <w:sz w:val="22"/>
        </w:rPr>
        <w:t xml:space="preserve">.  </w:t>
      </w:r>
      <w:r w:rsidR="006A580A">
        <w:rPr>
          <w:rFonts w:asciiTheme="minorHAnsi" w:hAnsiTheme="minorHAnsi"/>
          <w:sz w:val="22"/>
        </w:rPr>
        <w:t xml:space="preserve">  For example, women can be more severely impacted </w:t>
      </w:r>
      <w:r w:rsidR="00B35FA2">
        <w:rPr>
          <w:rFonts w:asciiTheme="minorHAnsi" w:hAnsiTheme="minorHAnsi"/>
          <w:sz w:val="22"/>
        </w:rPr>
        <w:t>by</w:t>
      </w:r>
      <w:r w:rsidR="006A580A">
        <w:rPr>
          <w:rFonts w:asciiTheme="minorHAnsi" w:hAnsiTheme="minorHAnsi"/>
          <w:sz w:val="22"/>
        </w:rPr>
        <w:t xml:space="preserve"> disasters and </w:t>
      </w:r>
      <w:r w:rsidR="00DE4805">
        <w:rPr>
          <w:rFonts w:asciiTheme="minorHAnsi" w:hAnsiTheme="minorHAnsi"/>
          <w:sz w:val="22"/>
        </w:rPr>
        <w:t>therefore</w:t>
      </w:r>
      <w:r w:rsidR="006A580A">
        <w:rPr>
          <w:rFonts w:asciiTheme="minorHAnsi" w:hAnsiTheme="minorHAnsi"/>
          <w:sz w:val="22"/>
        </w:rPr>
        <w:t xml:space="preserve"> inequalities</w:t>
      </w:r>
      <w:r w:rsidR="00DE4805">
        <w:rPr>
          <w:rFonts w:asciiTheme="minorHAnsi" w:hAnsiTheme="minorHAnsi"/>
          <w:sz w:val="22"/>
        </w:rPr>
        <w:t xml:space="preserve"> and vulnerabilities</w:t>
      </w:r>
      <w:r w:rsidR="006A580A">
        <w:rPr>
          <w:rFonts w:asciiTheme="minorHAnsi" w:hAnsiTheme="minorHAnsi"/>
          <w:sz w:val="22"/>
        </w:rPr>
        <w:t xml:space="preserve"> at the heart of development </w:t>
      </w:r>
      <w:r w:rsidR="00DE4805">
        <w:rPr>
          <w:rFonts w:asciiTheme="minorHAnsi" w:hAnsiTheme="minorHAnsi"/>
          <w:sz w:val="22"/>
        </w:rPr>
        <w:t>need to be</w:t>
      </w:r>
      <w:r w:rsidR="006A580A">
        <w:rPr>
          <w:rFonts w:asciiTheme="minorHAnsi" w:hAnsiTheme="minorHAnsi"/>
          <w:sz w:val="22"/>
        </w:rPr>
        <w:t xml:space="preserve"> de</w:t>
      </w:r>
      <w:r w:rsidR="009B6923">
        <w:rPr>
          <w:rFonts w:asciiTheme="minorHAnsi" w:hAnsiTheme="minorHAnsi"/>
          <w:sz w:val="22"/>
        </w:rPr>
        <w:t>alt</w:t>
      </w:r>
      <w:r w:rsidR="006A580A">
        <w:rPr>
          <w:rFonts w:asciiTheme="minorHAnsi" w:hAnsiTheme="minorHAnsi"/>
          <w:sz w:val="22"/>
        </w:rPr>
        <w:t xml:space="preserve"> with </w:t>
      </w:r>
      <w:r w:rsidR="009B6923">
        <w:rPr>
          <w:rFonts w:asciiTheme="minorHAnsi" w:hAnsiTheme="minorHAnsi"/>
          <w:sz w:val="22"/>
        </w:rPr>
        <w:t xml:space="preserve">as part of risk mainstreaming </w:t>
      </w:r>
      <w:r w:rsidR="00DE4805">
        <w:rPr>
          <w:rFonts w:asciiTheme="minorHAnsi" w:hAnsiTheme="minorHAnsi"/>
          <w:sz w:val="22"/>
        </w:rPr>
        <w:t xml:space="preserve">to effect real change </w:t>
      </w:r>
      <w:r w:rsidR="009B6923">
        <w:rPr>
          <w:rFonts w:asciiTheme="minorHAnsi" w:hAnsiTheme="minorHAnsi"/>
          <w:sz w:val="22"/>
        </w:rPr>
        <w:t>(UNICEF, 2016</w:t>
      </w:r>
      <w:r w:rsidR="006A580A">
        <w:rPr>
          <w:rFonts w:asciiTheme="minorHAnsi" w:hAnsiTheme="minorHAnsi"/>
          <w:sz w:val="22"/>
        </w:rPr>
        <w:t xml:space="preserve">). </w:t>
      </w:r>
      <w:r w:rsidR="00B35FA2">
        <w:rPr>
          <w:rFonts w:asciiTheme="minorHAnsi" w:hAnsiTheme="minorHAnsi"/>
          <w:sz w:val="22"/>
        </w:rPr>
        <w:t>The tool is also</w:t>
      </w:r>
      <w:r w:rsidR="00B35FA2" w:rsidRPr="00D43317">
        <w:rPr>
          <w:rFonts w:asciiTheme="minorHAnsi" w:hAnsiTheme="minorHAnsi"/>
          <w:sz w:val="22"/>
        </w:rPr>
        <w:t xml:space="preserve"> cognisant of associated trends such as urbanisation, migration, land conflict) and how these </w:t>
      </w:r>
      <w:r w:rsidR="00B35FA2">
        <w:rPr>
          <w:rFonts w:asciiTheme="minorHAnsi" w:hAnsiTheme="minorHAnsi"/>
          <w:sz w:val="22"/>
        </w:rPr>
        <w:t xml:space="preserve">contribute to </w:t>
      </w:r>
      <w:r w:rsidR="00B35FA2" w:rsidRPr="00D43317">
        <w:rPr>
          <w:rFonts w:asciiTheme="minorHAnsi" w:hAnsiTheme="minorHAnsi"/>
          <w:sz w:val="22"/>
        </w:rPr>
        <w:t>risk.</w:t>
      </w:r>
    </w:p>
    <w:p w14:paraId="6E2C2A42" w14:textId="2C3E632C" w:rsidR="002D181B" w:rsidRDefault="002D181B" w:rsidP="002D181B">
      <w:pPr>
        <w:pStyle w:val="ListParagraph"/>
        <w:ind w:left="360"/>
        <w:rPr>
          <w:rFonts w:asciiTheme="minorHAnsi" w:hAnsiTheme="minorHAnsi"/>
          <w:sz w:val="22"/>
        </w:rPr>
      </w:pPr>
    </w:p>
    <w:p w14:paraId="1DBDEA47" w14:textId="1692F108" w:rsidR="002D181B" w:rsidRDefault="002D181B" w:rsidP="00C86E69">
      <w:pPr>
        <w:pStyle w:val="ListParagraph"/>
        <w:numPr>
          <w:ilvl w:val="0"/>
          <w:numId w:val="2"/>
        </w:numPr>
        <w:jc w:val="both"/>
        <w:rPr>
          <w:rFonts w:asciiTheme="minorHAnsi" w:hAnsiTheme="minorHAnsi"/>
          <w:sz w:val="22"/>
        </w:rPr>
      </w:pPr>
      <w:r>
        <w:rPr>
          <w:rFonts w:asciiTheme="minorHAnsi" w:hAnsiTheme="minorHAnsi"/>
          <w:b/>
          <w:sz w:val="22"/>
        </w:rPr>
        <w:t xml:space="preserve">The tool supports understanding of historical, present and future risk. </w:t>
      </w:r>
      <w:r w:rsidR="00CF1573">
        <w:rPr>
          <w:rFonts w:asciiTheme="minorHAnsi" w:hAnsiTheme="minorHAnsi"/>
          <w:sz w:val="22"/>
        </w:rPr>
        <w:t xml:space="preserve">It is important that any risk to development </w:t>
      </w:r>
      <w:r w:rsidR="009B6923">
        <w:rPr>
          <w:rFonts w:asciiTheme="minorHAnsi" w:hAnsiTheme="minorHAnsi"/>
          <w:sz w:val="22"/>
        </w:rPr>
        <w:t>is</w:t>
      </w:r>
      <w:r w:rsidR="00CF1573">
        <w:rPr>
          <w:rFonts w:asciiTheme="minorHAnsi" w:hAnsiTheme="minorHAnsi"/>
          <w:sz w:val="22"/>
        </w:rPr>
        <w:t xml:space="preserve"> analysed in the context of past disaster experiences, current climate variability,</w:t>
      </w:r>
      <w:r w:rsidR="00733975">
        <w:rPr>
          <w:rFonts w:asciiTheme="minorHAnsi" w:hAnsiTheme="minorHAnsi"/>
          <w:sz w:val="22"/>
        </w:rPr>
        <w:t xml:space="preserve"> and </w:t>
      </w:r>
      <w:r w:rsidR="00CF1573">
        <w:rPr>
          <w:rFonts w:asciiTheme="minorHAnsi" w:hAnsiTheme="minorHAnsi"/>
          <w:sz w:val="22"/>
        </w:rPr>
        <w:t>tak</w:t>
      </w:r>
      <w:r w:rsidR="009B6923">
        <w:rPr>
          <w:rFonts w:asciiTheme="minorHAnsi" w:hAnsiTheme="minorHAnsi"/>
          <w:sz w:val="22"/>
        </w:rPr>
        <w:t>es</w:t>
      </w:r>
      <w:r w:rsidR="00CF1573">
        <w:rPr>
          <w:rFonts w:asciiTheme="minorHAnsi" w:hAnsiTheme="minorHAnsi"/>
          <w:sz w:val="22"/>
        </w:rPr>
        <w:t xml:space="preserve"> into consideration how risks might b</w:t>
      </w:r>
      <w:r w:rsidR="004C2673">
        <w:rPr>
          <w:rFonts w:asciiTheme="minorHAnsi" w:hAnsiTheme="minorHAnsi"/>
          <w:sz w:val="22"/>
        </w:rPr>
        <w:t>e altered</w:t>
      </w:r>
      <w:r w:rsidR="00733975">
        <w:rPr>
          <w:rFonts w:asciiTheme="minorHAnsi" w:hAnsiTheme="minorHAnsi"/>
          <w:sz w:val="22"/>
        </w:rPr>
        <w:t xml:space="preserve"> in the future</w:t>
      </w:r>
      <w:r w:rsidR="004C2673">
        <w:rPr>
          <w:rFonts w:asciiTheme="minorHAnsi" w:hAnsiTheme="minorHAnsi"/>
          <w:sz w:val="22"/>
        </w:rPr>
        <w:t xml:space="preserve"> due to climate change</w:t>
      </w:r>
      <w:r w:rsidR="00733975">
        <w:rPr>
          <w:rFonts w:asciiTheme="minorHAnsi" w:hAnsiTheme="minorHAnsi"/>
          <w:sz w:val="22"/>
        </w:rPr>
        <w:t xml:space="preserve"> (climate scenarios)</w:t>
      </w:r>
      <w:r w:rsidR="00DE4805">
        <w:rPr>
          <w:rFonts w:asciiTheme="minorHAnsi" w:hAnsiTheme="minorHAnsi"/>
          <w:sz w:val="22"/>
        </w:rPr>
        <w:t>.</w:t>
      </w:r>
      <w:r w:rsidR="00D155D8">
        <w:rPr>
          <w:rFonts w:asciiTheme="minorHAnsi" w:hAnsiTheme="minorHAnsi"/>
          <w:sz w:val="22"/>
        </w:rPr>
        <w:t xml:space="preserve"> </w:t>
      </w:r>
    </w:p>
    <w:p w14:paraId="7BC834AA" w14:textId="77777777" w:rsidR="002D181B" w:rsidRPr="002D181B" w:rsidRDefault="002D181B" w:rsidP="002D181B">
      <w:pPr>
        <w:pStyle w:val="ListParagraph"/>
        <w:rPr>
          <w:rFonts w:asciiTheme="minorHAnsi" w:hAnsiTheme="minorHAnsi"/>
          <w:sz w:val="22"/>
        </w:rPr>
      </w:pPr>
    </w:p>
    <w:p w14:paraId="51610929" w14:textId="35B6CE6D" w:rsidR="003321DC" w:rsidRDefault="002D181B" w:rsidP="00C86E69">
      <w:pPr>
        <w:pStyle w:val="ListParagraph"/>
        <w:numPr>
          <w:ilvl w:val="0"/>
          <w:numId w:val="2"/>
        </w:numPr>
        <w:jc w:val="both"/>
        <w:rPr>
          <w:rFonts w:asciiTheme="minorHAnsi" w:hAnsiTheme="minorHAnsi"/>
          <w:sz w:val="22"/>
        </w:rPr>
      </w:pPr>
      <w:r w:rsidRPr="003321DC">
        <w:rPr>
          <w:rFonts w:asciiTheme="minorHAnsi" w:hAnsiTheme="minorHAnsi"/>
          <w:b/>
          <w:sz w:val="22"/>
        </w:rPr>
        <w:t xml:space="preserve">The tool is </w:t>
      </w:r>
      <w:r w:rsidR="003321DC" w:rsidRPr="003321DC">
        <w:rPr>
          <w:rFonts w:asciiTheme="minorHAnsi" w:hAnsiTheme="minorHAnsi"/>
          <w:b/>
          <w:sz w:val="22"/>
        </w:rPr>
        <w:t xml:space="preserve">applicable to different </w:t>
      </w:r>
      <w:r w:rsidR="003321DC" w:rsidRPr="003321DC">
        <w:rPr>
          <w:rFonts w:asciiTheme="minorHAnsi" w:hAnsiTheme="minorHAnsi"/>
          <w:b/>
          <w:sz w:val="22"/>
          <w:u w:val="single"/>
        </w:rPr>
        <w:t>country context</w:t>
      </w:r>
      <w:r w:rsidR="00733975">
        <w:rPr>
          <w:rFonts w:asciiTheme="minorHAnsi" w:hAnsiTheme="minorHAnsi"/>
          <w:b/>
          <w:sz w:val="22"/>
          <w:u w:val="single"/>
        </w:rPr>
        <w:t>s</w:t>
      </w:r>
      <w:r w:rsidR="003321DC" w:rsidRPr="003321DC">
        <w:rPr>
          <w:rFonts w:asciiTheme="minorHAnsi" w:hAnsiTheme="minorHAnsi"/>
          <w:b/>
          <w:sz w:val="22"/>
        </w:rPr>
        <w:t xml:space="preserve"> and </w:t>
      </w:r>
      <w:r w:rsidR="00B35FA2">
        <w:rPr>
          <w:rFonts w:asciiTheme="minorHAnsi" w:hAnsiTheme="minorHAnsi"/>
          <w:b/>
          <w:sz w:val="22"/>
          <w:u w:val="single"/>
        </w:rPr>
        <w:t>levels</w:t>
      </w:r>
      <w:r w:rsidR="00DE2103">
        <w:rPr>
          <w:rFonts w:asciiTheme="minorHAnsi" w:hAnsiTheme="minorHAnsi"/>
          <w:sz w:val="22"/>
        </w:rPr>
        <w:t xml:space="preserve">. </w:t>
      </w:r>
      <w:r w:rsidR="00D642DF">
        <w:rPr>
          <w:rFonts w:asciiTheme="minorHAnsi" w:hAnsiTheme="minorHAnsi"/>
          <w:sz w:val="22"/>
        </w:rPr>
        <w:t xml:space="preserve">The tool can be applied </w:t>
      </w:r>
      <w:r w:rsidR="00733975">
        <w:rPr>
          <w:rFonts w:asciiTheme="minorHAnsi" w:hAnsiTheme="minorHAnsi"/>
          <w:sz w:val="22"/>
        </w:rPr>
        <w:t xml:space="preserve">in </w:t>
      </w:r>
      <w:r w:rsidR="00D642DF">
        <w:rPr>
          <w:rFonts w:asciiTheme="minorHAnsi" w:hAnsiTheme="minorHAnsi"/>
          <w:sz w:val="22"/>
        </w:rPr>
        <w:t>different countr</w:t>
      </w:r>
      <w:r w:rsidR="00733975">
        <w:rPr>
          <w:rFonts w:asciiTheme="minorHAnsi" w:hAnsiTheme="minorHAnsi"/>
          <w:sz w:val="22"/>
        </w:rPr>
        <w:t xml:space="preserve">y contexts </w:t>
      </w:r>
      <w:r w:rsidR="00D642DF">
        <w:rPr>
          <w:rFonts w:asciiTheme="minorHAnsi" w:hAnsiTheme="minorHAnsi"/>
          <w:sz w:val="22"/>
        </w:rPr>
        <w:t>and levels</w:t>
      </w:r>
      <w:r w:rsidR="00B35FA2">
        <w:rPr>
          <w:rFonts w:asciiTheme="minorHAnsi" w:hAnsiTheme="minorHAnsi"/>
          <w:sz w:val="22"/>
        </w:rPr>
        <w:t xml:space="preserve"> </w:t>
      </w:r>
      <w:r w:rsidR="00662C61">
        <w:rPr>
          <w:rFonts w:asciiTheme="minorHAnsi" w:hAnsiTheme="minorHAnsi"/>
          <w:sz w:val="22"/>
        </w:rPr>
        <w:t>(</w:t>
      </w:r>
      <w:r w:rsidR="00733975">
        <w:rPr>
          <w:rFonts w:asciiTheme="minorHAnsi" w:hAnsiTheme="minorHAnsi"/>
          <w:sz w:val="22"/>
        </w:rPr>
        <w:t>notably from</w:t>
      </w:r>
      <w:r w:rsidR="00B35FA2">
        <w:rPr>
          <w:rFonts w:asciiTheme="minorHAnsi" w:hAnsiTheme="minorHAnsi"/>
          <w:sz w:val="22"/>
        </w:rPr>
        <w:t xml:space="preserve"> national</w:t>
      </w:r>
      <w:r w:rsidR="00733975">
        <w:rPr>
          <w:rFonts w:asciiTheme="minorHAnsi" w:hAnsiTheme="minorHAnsi"/>
          <w:sz w:val="22"/>
        </w:rPr>
        <w:t xml:space="preserve"> to </w:t>
      </w:r>
      <w:r w:rsidR="00B35FA2">
        <w:rPr>
          <w:rFonts w:asciiTheme="minorHAnsi" w:hAnsiTheme="minorHAnsi"/>
          <w:sz w:val="22"/>
        </w:rPr>
        <w:t>sub-national levels</w:t>
      </w:r>
      <w:r w:rsidR="00662C61">
        <w:rPr>
          <w:rFonts w:asciiTheme="minorHAnsi" w:hAnsiTheme="minorHAnsi"/>
          <w:sz w:val="22"/>
        </w:rPr>
        <w:t>)</w:t>
      </w:r>
      <w:r w:rsidR="00733975">
        <w:rPr>
          <w:rFonts w:asciiTheme="minorHAnsi" w:hAnsiTheme="minorHAnsi"/>
          <w:sz w:val="22"/>
        </w:rPr>
        <w:t xml:space="preserve"> as well as sectors</w:t>
      </w:r>
      <w:r w:rsidR="00D642DF">
        <w:rPr>
          <w:rFonts w:asciiTheme="minorHAnsi" w:hAnsiTheme="minorHAnsi"/>
          <w:sz w:val="22"/>
        </w:rPr>
        <w:t xml:space="preserve">. </w:t>
      </w:r>
      <w:r w:rsidR="00B35FA2">
        <w:rPr>
          <w:rFonts w:asciiTheme="minorHAnsi" w:hAnsiTheme="minorHAnsi"/>
          <w:sz w:val="22"/>
        </w:rPr>
        <w:t>This is because m</w:t>
      </w:r>
      <w:r w:rsidR="00E66B08">
        <w:rPr>
          <w:rFonts w:asciiTheme="minorHAnsi" w:hAnsiTheme="minorHAnsi"/>
          <w:sz w:val="22"/>
        </w:rPr>
        <w:t>ainstreaming has many levels of intervention and is more likely to succeed if it is promoted at all levels</w:t>
      </w:r>
      <w:r w:rsidR="00DE4805">
        <w:rPr>
          <w:rFonts w:asciiTheme="minorHAnsi" w:hAnsiTheme="minorHAnsi"/>
          <w:sz w:val="22"/>
        </w:rPr>
        <w:t xml:space="preserve"> (UNDP, 2010).</w:t>
      </w:r>
      <w:r w:rsidR="00E66B08">
        <w:rPr>
          <w:rFonts w:asciiTheme="minorHAnsi" w:hAnsiTheme="minorHAnsi"/>
          <w:sz w:val="22"/>
        </w:rPr>
        <w:t xml:space="preserve"> </w:t>
      </w:r>
    </w:p>
    <w:p w14:paraId="18B082A1" w14:textId="77777777" w:rsidR="003321DC" w:rsidRPr="003321DC" w:rsidRDefault="003321DC" w:rsidP="003321DC">
      <w:pPr>
        <w:pStyle w:val="ListParagraph"/>
        <w:rPr>
          <w:rFonts w:asciiTheme="minorHAnsi" w:hAnsiTheme="minorHAnsi"/>
          <w:sz w:val="22"/>
        </w:rPr>
      </w:pPr>
    </w:p>
    <w:p w14:paraId="66FE4F93" w14:textId="605CCA4A" w:rsidR="00BD6D74" w:rsidRPr="003321DC" w:rsidRDefault="003321DC" w:rsidP="00C86E69">
      <w:pPr>
        <w:pStyle w:val="ListParagraph"/>
        <w:numPr>
          <w:ilvl w:val="0"/>
          <w:numId w:val="2"/>
        </w:numPr>
        <w:jc w:val="both"/>
        <w:rPr>
          <w:b/>
        </w:rPr>
      </w:pPr>
      <w:r w:rsidRPr="003321DC">
        <w:rPr>
          <w:rFonts w:asciiTheme="minorHAnsi" w:hAnsiTheme="minorHAnsi"/>
          <w:b/>
          <w:sz w:val="22"/>
        </w:rPr>
        <w:t xml:space="preserve">The tool is </w:t>
      </w:r>
      <w:r w:rsidR="004C2673">
        <w:rPr>
          <w:rFonts w:asciiTheme="minorHAnsi" w:hAnsiTheme="minorHAnsi"/>
          <w:b/>
          <w:sz w:val="22"/>
        </w:rPr>
        <w:t xml:space="preserve">targeted at development </w:t>
      </w:r>
      <w:r w:rsidR="00DE2103">
        <w:rPr>
          <w:rFonts w:asciiTheme="minorHAnsi" w:hAnsiTheme="minorHAnsi"/>
          <w:b/>
          <w:sz w:val="22"/>
        </w:rPr>
        <w:t>processes</w:t>
      </w:r>
      <w:r w:rsidR="004C2673">
        <w:rPr>
          <w:rFonts w:asciiTheme="minorHAnsi" w:hAnsiTheme="minorHAnsi"/>
          <w:b/>
          <w:sz w:val="22"/>
        </w:rPr>
        <w:t xml:space="preserve"> but has relevance for recovery</w:t>
      </w:r>
      <w:r w:rsidR="00DE2103">
        <w:rPr>
          <w:rFonts w:asciiTheme="minorHAnsi" w:hAnsiTheme="minorHAnsi"/>
          <w:b/>
          <w:sz w:val="22"/>
        </w:rPr>
        <w:t xml:space="preserve">.  </w:t>
      </w:r>
      <w:r w:rsidR="0076442C">
        <w:rPr>
          <w:rFonts w:asciiTheme="minorHAnsi" w:hAnsiTheme="minorHAnsi"/>
          <w:sz w:val="22"/>
        </w:rPr>
        <w:t>DRR and CCA</w:t>
      </w:r>
      <w:r w:rsidR="0042386A">
        <w:rPr>
          <w:rFonts w:asciiTheme="minorHAnsi" w:hAnsiTheme="minorHAnsi"/>
          <w:sz w:val="22"/>
        </w:rPr>
        <w:t xml:space="preserve"> should be integral to </w:t>
      </w:r>
      <w:r w:rsidR="00D155D8">
        <w:rPr>
          <w:rFonts w:asciiTheme="minorHAnsi" w:hAnsiTheme="minorHAnsi"/>
          <w:sz w:val="22"/>
        </w:rPr>
        <w:t xml:space="preserve">decision making before, during and after a disaster.  Clearly, the tool encourages “proactive” disaster risk management, with risk treated as an essential component of sustainable development.  This tool is </w:t>
      </w:r>
      <w:r w:rsidR="00862CEF">
        <w:rPr>
          <w:rFonts w:asciiTheme="minorHAnsi" w:hAnsiTheme="minorHAnsi"/>
          <w:sz w:val="22"/>
        </w:rPr>
        <w:t xml:space="preserve">therefore relevant </w:t>
      </w:r>
      <w:r w:rsidR="0076442C">
        <w:rPr>
          <w:rFonts w:asciiTheme="minorHAnsi" w:hAnsiTheme="minorHAnsi"/>
          <w:sz w:val="22"/>
        </w:rPr>
        <w:t xml:space="preserve">also </w:t>
      </w:r>
      <w:r w:rsidR="00DE4805">
        <w:rPr>
          <w:rFonts w:asciiTheme="minorHAnsi" w:hAnsiTheme="minorHAnsi"/>
          <w:sz w:val="22"/>
        </w:rPr>
        <w:t>for risk informing</w:t>
      </w:r>
      <w:r w:rsidR="00862CEF">
        <w:rPr>
          <w:rFonts w:asciiTheme="minorHAnsi" w:hAnsiTheme="minorHAnsi"/>
          <w:sz w:val="22"/>
        </w:rPr>
        <w:t xml:space="preserve"> post disaster recovery </w:t>
      </w:r>
      <w:r w:rsidR="0076442C">
        <w:rPr>
          <w:rFonts w:asciiTheme="minorHAnsi" w:hAnsiTheme="minorHAnsi"/>
          <w:sz w:val="22"/>
        </w:rPr>
        <w:t>policies and programmes</w:t>
      </w:r>
      <w:r w:rsidR="0042386A">
        <w:rPr>
          <w:rFonts w:asciiTheme="minorHAnsi" w:hAnsiTheme="minorHAnsi"/>
          <w:sz w:val="22"/>
        </w:rPr>
        <w:t xml:space="preserve">.  </w:t>
      </w:r>
    </w:p>
    <w:p w14:paraId="6B348464" w14:textId="4623D4A2" w:rsidR="00BF3764" w:rsidRPr="0076442C" w:rsidRDefault="00BF3764">
      <w:pPr>
        <w:rPr>
          <w:lang w:val="en-GB"/>
        </w:rPr>
      </w:pPr>
    </w:p>
    <w:p w14:paraId="2AD9FC82" w14:textId="152DEE64" w:rsidR="005D3254" w:rsidRPr="007D1566" w:rsidRDefault="005D3254" w:rsidP="005D3254">
      <w:pPr>
        <w:pStyle w:val="ListParagraph"/>
        <w:ind w:left="709"/>
        <w:jc w:val="both"/>
        <w:rPr>
          <w:rFonts w:asciiTheme="minorHAnsi" w:hAnsiTheme="minorHAnsi"/>
          <w:i/>
          <w:color w:val="ED7D31" w:themeColor="accent2"/>
          <w:sz w:val="22"/>
        </w:rPr>
      </w:pPr>
      <w:r w:rsidRPr="007D1566">
        <w:rPr>
          <w:rFonts w:asciiTheme="minorHAnsi" w:hAnsiTheme="minorHAnsi"/>
          <w:noProof/>
          <w:sz w:val="22"/>
          <w:lang w:val="en-US"/>
        </w:rPr>
        <w:drawing>
          <wp:anchor distT="0" distB="0" distL="114300" distR="114300" simplePos="0" relativeHeight="251958272" behindDoc="1" locked="0" layoutInCell="1" allowOverlap="1" wp14:anchorId="07B8C50C" wp14:editId="566C0B37">
            <wp:simplePos x="0" y="0"/>
            <wp:positionH relativeFrom="margin">
              <wp:align>left</wp:align>
            </wp:positionH>
            <wp:positionV relativeFrom="paragraph">
              <wp:posOffset>94615</wp:posOffset>
            </wp:positionV>
            <wp:extent cx="333375" cy="333375"/>
            <wp:effectExtent l="0" t="0" r="9525" b="9525"/>
            <wp:wrapTight wrapText="bothSides">
              <wp:wrapPolygon edited="0">
                <wp:start x="0" y="0"/>
                <wp:lineTo x="0" y="20983"/>
                <wp:lineTo x="20983" y="20983"/>
                <wp:lineTo x="20983" y="0"/>
                <wp:lineTo x="0" y="0"/>
              </wp:wrapPolygon>
            </wp:wrapTight>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r w:rsidRPr="007D1566">
        <w:rPr>
          <w:rFonts w:asciiTheme="minorHAnsi" w:hAnsiTheme="minorHAnsi"/>
          <w:i/>
          <w:color w:val="ED7D31" w:themeColor="accent2"/>
          <w:sz w:val="22"/>
        </w:rPr>
        <w:t xml:space="preserve">This new </w:t>
      </w:r>
      <w:r>
        <w:rPr>
          <w:rFonts w:asciiTheme="minorHAnsi" w:hAnsiTheme="minorHAnsi"/>
          <w:i/>
          <w:color w:val="ED7D31" w:themeColor="accent2"/>
          <w:sz w:val="22"/>
        </w:rPr>
        <w:t xml:space="preserve">tool </w:t>
      </w:r>
      <w:r w:rsidRPr="007D1566">
        <w:rPr>
          <w:rFonts w:asciiTheme="minorHAnsi" w:hAnsiTheme="minorHAnsi"/>
          <w:i/>
          <w:color w:val="ED7D31" w:themeColor="accent2"/>
          <w:sz w:val="22"/>
        </w:rPr>
        <w:t>unpacks the process of mainstreaming both DRR and CCA and provides practical guidance that is applicable to a range of country contexts</w:t>
      </w:r>
      <w:r>
        <w:rPr>
          <w:rFonts w:asciiTheme="minorHAnsi" w:hAnsiTheme="minorHAnsi"/>
          <w:i/>
          <w:color w:val="ED7D31" w:themeColor="accent2"/>
          <w:sz w:val="22"/>
        </w:rPr>
        <w:t xml:space="preserve"> and levels</w:t>
      </w:r>
      <w:r w:rsidRPr="007D1566">
        <w:rPr>
          <w:rFonts w:asciiTheme="minorHAnsi" w:hAnsiTheme="minorHAnsi"/>
          <w:i/>
          <w:color w:val="ED7D31" w:themeColor="accent2"/>
          <w:sz w:val="22"/>
        </w:rPr>
        <w:t xml:space="preserve"> to help practitioners transform policy commitment into practical </w:t>
      </w:r>
      <w:r>
        <w:rPr>
          <w:rFonts w:asciiTheme="minorHAnsi" w:hAnsiTheme="minorHAnsi"/>
          <w:i/>
          <w:color w:val="ED7D31" w:themeColor="accent2"/>
          <w:sz w:val="22"/>
        </w:rPr>
        <w:t xml:space="preserve">cohesive </w:t>
      </w:r>
      <w:r w:rsidRPr="007D1566">
        <w:rPr>
          <w:rFonts w:asciiTheme="minorHAnsi" w:hAnsiTheme="minorHAnsi"/>
          <w:i/>
          <w:color w:val="ED7D31" w:themeColor="accent2"/>
          <w:sz w:val="22"/>
        </w:rPr>
        <w:t xml:space="preserve">action. </w:t>
      </w:r>
    </w:p>
    <w:p w14:paraId="7A4521E3" w14:textId="5C30D520" w:rsidR="000C68FF" w:rsidRDefault="000C68FF">
      <w:r>
        <w:br w:type="page"/>
      </w:r>
    </w:p>
    <w:p w14:paraId="386FF2E1" w14:textId="6E3FBFA6" w:rsidR="009F508D" w:rsidRDefault="009F508D" w:rsidP="00D548B7">
      <w:pPr>
        <w:pStyle w:val="Heading1"/>
      </w:pPr>
      <w:bookmarkStart w:id="27" w:name="_Toc451409697"/>
      <w:bookmarkStart w:id="28" w:name="_Toc451948696"/>
      <w:r>
        <w:t>Mainstreaming</w:t>
      </w:r>
      <w:r w:rsidR="002366EB">
        <w:t xml:space="preserve"> Principles</w:t>
      </w:r>
      <w:bookmarkEnd w:id="27"/>
      <w:bookmarkEnd w:id="28"/>
    </w:p>
    <w:p w14:paraId="7574BBB8" w14:textId="7BCD0B3C" w:rsidR="006806F2" w:rsidRDefault="006806F2" w:rsidP="006806F2">
      <w:pPr>
        <w:pStyle w:val="Heading2"/>
      </w:pPr>
      <w:bookmarkStart w:id="29" w:name="_Toc451948697"/>
      <w:r>
        <w:t>Overview of Principles</w:t>
      </w:r>
      <w:bookmarkEnd w:id="29"/>
    </w:p>
    <w:p w14:paraId="0434FBCE" w14:textId="77777777" w:rsidR="006806F2" w:rsidRPr="006806F2" w:rsidRDefault="006806F2" w:rsidP="006806F2"/>
    <w:p w14:paraId="31A930D1" w14:textId="74D5B162" w:rsidR="006806F2" w:rsidRDefault="009B3A96" w:rsidP="009B3A96">
      <w:pPr>
        <w:jc w:val="both"/>
      </w:pPr>
      <w:r>
        <w:t xml:space="preserve">Before unpacking the tool, it is important to stress some critical principles that should underpin </w:t>
      </w:r>
      <w:r w:rsidR="002366EB">
        <w:t xml:space="preserve">and guide </w:t>
      </w:r>
      <w:r>
        <w:t>any mainstreaming effort</w:t>
      </w:r>
      <w:r w:rsidR="006806F2">
        <w:t xml:space="preserve"> (see </w:t>
      </w:r>
      <w:r w:rsidR="006806F2">
        <w:rPr>
          <w:i/>
        </w:rPr>
        <w:t>Figure 1)</w:t>
      </w:r>
      <w:r>
        <w:t xml:space="preserve">.  </w:t>
      </w:r>
      <w:r w:rsidR="006806F2">
        <w:t xml:space="preserve">These originate from a wealth of experience captured from literature review of existing guidelines and tools, case study review and practitioner feedback from the on-line discussions.  </w:t>
      </w:r>
      <w:r w:rsidR="00AC3A8D">
        <w:t xml:space="preserve">Although these </w:t>
      </w:r>
      <w:r w:rsidR="006806F2">
        <w:t xml:space="preserve">build on core principles identified in earlier tools, </w:t>
      </w:r>
      <w:r w:rsidR="00AC3A8D">
        <w:t xml:space="preserve">they move beyond these and guide practitioners to adopt an approach to mainstreaming, which </w:t>
      </w:r>
      <w:r w:rsidR="009A141F">
        <w:t>challenges convention approaches that deal with risk as an “add-on” and instead guide practitioners towards a</w:t>
      </w:r>
      <w:r w:rsidR="00AC3A8D">
        <w:t xml:space="preserve"> flexible, context specific</w:t>
      </w:r>
      <w:r w:rsidR="009A141F">
        <w:t xml:space="preserve"> approach that supports </w:t>
      </w:r>
      <w:r w:rsidR="00AC3A8D">
        <w:t xml:space="preserve">transformational </w:t>
      </w:r>
      <w:r w:rsidR="009A141F">
        <w:t xml:space="preserve">change to the development mainstream itself, driven by </w:t>
      </w:r>
      <w:r w:rsidR="00AC3A8D">
        <w:t xml:space="preserve">ownership and </w:t>
      </w:r>
      <w:r w:rsidR="009A141F">
        <w:t xml:space="preserve">behavioural change of national practitioners. </w:t>
      </w:r>
    </w:p>
    <w:p w14:paraId="63417C39" w14:textId="2C09557F" w:rsidR="00DE03D8" w:rsidRPr="00427021" w:rsidRDefault="00DE03D8" w:rsidP="00DE03D8">
      <w:pPr>
        <w:jc w:val="both"/>
        <w:rPr>
          <w:b/>
          <w:i/>
          <w:color w:val="833C0B" w:themeColor="accent2" w:themeShade="80"/>
        </w:rPr>
      </w:pPr>
      <w:r w:rsidRPr="00427021">
        <w:rPr>
          <w:b/>
          <w:i/>
          <w:color w:val="833C0B" w:themeColor="accent2" w:themeShade="80"/>
        </w:rPr>
        <w:t>Figure 1: Mainstreamin</w:t>
      </w:r>
      <w:r w:rsidR="00427021" w:rsidRPr="00427021">
        <w:rPr>
          <w:b/>
          <w:i/>
          <w:color w:val="833C0B" w:themeColor="accent2" w:themeShade="80"/>
        </w:rPr>
        <w:t xml:space="preserve">g principles </w:t>
      </w:r>
    </w:p>
    <w:p w14:paraId="62478D3E" w14:textId="14AD750C" w:rsidR="00DE03D8" w:rsidRDefault="00427021" w:rsidP="00A72EFD">
      <w:pPr>
        <w:jc w:val="center"/>
        <w:rPr>
          <w:b/>
          <w:i/>
          <w:color w:val="000000" w:themeColor="text1"/>
        </w:rPr>
      </w:pPr>
      <w:r w:rsidRPr="00427021">
        <w:rPr>
          <w:noProof/>
          <w:lang w:bidi="ar-SA"/>
        </w:rPr>
        <w:drawing>
          <wp:inline distT="0" distB="0" distL="0" distR="0" wp14:anchorId="1B76CE97" wp14:editId="46426AC7">
            <wp:extent cx="5257107" cy="2905854"/>
            <wp:effectExtent l="0" t="0" r="127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1248" cy="2908143"/>
                    </a:xfrm>
                    <a:prstGeom prst="rect">
                      <a:avLst/>
                    </a:prstGeom>
                  </pic:spPr>
                </pic:pic>
              </a:graphicData>
            </a:graphic>
          </wp:inline>
        </w:drawing>
      </w:r>
    </w:p>
    <w:p w14:paraId="5D701763" w14:textId="6228CFBB" w:rsidR="00AC3A8D" w:rsidRPr="00005C5C" w:rsidRDefault="00005C5C" w:rsidP="00005C5C">
      <w:pPr>
        <w:pStyle w:val="Heading2"/>
        <w:rPr>
          <w:i/>
        </w:rPr>
      </w:pPr>
      <w:bookmarkStart w:id="30" w:name="_Toc451948698"/>
      <w:r>
        <w:t>Unpacking the</w:t>
      </w:r>
      <w:r w:rsidR="009868E7">
        <w:t xml:space="preserve"> mainstreaming</w:t>
      </w:r>
      <w:r>
        <w:t xml:space="preserve"> principles </w:t>
      </w:r>
      <w:bookmarkEnd w:id="30"/>
    </w:p>
    <w:p w14:paraId="29AA1B76" w14:textId="44685E51" w:rsidR="00D00729" w:rsidRDefault="00A76FF0" w:rsidP="00764DAB">
      <w:pPr>
        <w:pStyle w:val="ListParagraph"/>
        <w:numPr>
          <w:ilvl w:val="0"/>
          <w:numId w:val="3"/>
        </w:numPr>
        <w:jc w:val="both"/>
        <w:rPr>
          <w:rFonts w:asciiTheme="minorHAnsi" w:hAnsiTheme="minorHAnsi"/>
          <w:sz w:val="22"/>
        </w:rPr>
      </w:pPr>
      <w:r w:rsidRPr="009A141F">
        <w:rPr>
          <w:rFonts w:ascii="Calibri" w:hAnsi="Calibri"/>
          <w:b/>
          <w:sz w:val="22"/>
        </w:rPr>
        <w:t xml:space="preserve">Mainstreaming </w:t>
      </w:r>
      <w:r w:rsidR="000C68FF" w:rsidRPr="009A141F">
        <w:rPr>
          <w:rFonts w:ascii="Calibri" w:hAnsi="Calibri"/>
          <w:b/>
          <w:sz w:val="22"/>
        </w:rPr>
        <w:t>is country</w:t>
      </w:r>
      <w:r w:rsidRPr="009A141F">
        <w:rPr>
          <w:rFonts w:ascii="Calibri" w:hAnsi="Calibri"/>
          <w:b/>
          <w:sz w:val="22"/>
        </w:rPr>
        <w:t xml:space="preserve"> owned.  </w:t>
      </w:r>
      <w:r w:rsidR="00961720" w:rsidRPr="009A141F">
        <w:rPr>
          <w:rFonts w:ascii="Calibri" w:hAnsi="Calibri"/>
          <w:sz w:val="22"/>
        </w:rPr>
        <w:t xml:space="preserve">Mainstreaming should be </w:t>
      </w:r>
      <w:r w:rsidR="00BB2D2F" w:rsidRPr="009A141F">
        <w:rPr>
          <w:rFonts w:ascii="Calibri" w:hAnsi="Calibri"/>
          <w:sz w:val="22"/>
        </w:rPr>
        <w:t xml:space="preserve">a </w:t>
      </w:r>
      <w:r w:rsidR="00961720" w:rsidRPr="009A141F">
        <w:rPr>
          <w:rFonts w:ascii="Calibri" w:hAnsi="Calibri"/>
          <w:sz w:val="22"/>
        </w:rPr>
        <w:t>country-dri</w:t>
      </w:r>
      <w:r w:rsidR="009B64A5" w:rsidRPr="009A141F">
        <w:rPr>
          <w:rFonts w:ascii="Calibri" w:hAnsi="Calibri"/>
          <w:sz w:val="22"/>
        </w:rPr>
        <w:t>ven and country-wide process</w:t>
      </w:r>
      <w:r w:rsidR="006818D1" w:rsidRPr="009A141F">
        <w:rPr>
          <w:rFonts w:ascii="Calibri" w:hAnsi="Calibri"/>
          <w:sz w:val="22"/>
        </w:rPr>
        <w:t xml:space="preserve"> to</w:t>
      </w:r>
      <w:r w:rsidR="009B64A5" w:rsidRPr="009A141F">
        <w:rPr>
          <w:rFonts w:ascii="Calibri" w:hAnsi="Calibri"/>
          <w:sz w:val="22"/>
        </w:rPr>
        <w:t xml:space="preserve"> embed risk into existing development policy </w:t>
      </w:r>
      <w:r w:rsidR="006818D1" w:rsidRPr="009A141F">
        <w:rPr>
          <w:rFonts w:ascii="Calibri" w:hAnsi="Calibri"/>
          <w:sz w:val="22"/>
        </w:rPr>
        <w:t xml:space="preserve">and </w:t>
      </w:r>
      <w:r w:rsidR="009B64A5" w:rsidRPr="009A141F">
        <w:rPr>
          <w:rFonts w:ascii="Calibri" w:hAnsi="Calibri"/>
          <w:sz w:val="22"/>
        </w:rPr>
        <w:t xml:space="preserve">practice.  </w:t>
      </w:r>
      <w:r w:rsidR="001B60A3">
        <w:rPr>
          <w:rFonts w:asciiTheme="minorHAnsi" w:hAnsiTheme="minorHAnsi"/>
          <w:sz w:val="22"/>
        </w:rPr>
        <w:t>I</w:t>
      </w:r>
      <w:r w:rsidR="002319FB" w:rsidRPr="009A141F">
        <w:rPr>
          <w:rFonts w:asciiTheme="minorHAnsi" w:hAnsiTheme="minorHAnsi"/>
          <w:sz w:val="22"/>
        </w:rPr>
        <w:t xml:space="preserve">ssues being </w:t>
      </w:r>
      <w:r w:rsidR="003D6580" w:rsidRPr="009A141F">
        <w:rPr>
          <w:rFonts w:asciiTheme="minorHAnsi" w:hAnsiTheme="minorHAnsi"/>
          <w:sz w:val="22"/>
        </w:rPr>
        <w:t>mainstreamed</w:t>
      </w:r>
      <w:r w:rsidR="002319FB" w:rsidRPr="009A141F">
        <w:rPr>
          <w:rFonts w:asciiTheme="minorHAnsi" w:hAnsiTheme="minorHAnsi"/>
          <w:sz w:val="22"/>
        </w:rPr>
        <w:t xml:space="preserve"> </w:t>
      </w:r>
      <w:r w:rsidR="001B60A3">
        <w:rPr>
          <w:rFonts w:asciiTheme="minorHAnsi" w:hAnsiTheme="minorHAnsi"/>
          <w:sz w:val="22"/>
        </w:rPr>
        <w:t>are often</w:t>
      </w:r>
      <w:r w:rsidR="002319FB" w:rsidRPr="009A141F">
        <w:rPr>
          <w:rFonts w:asciiTheme="minorHAnsi" w:hAnsiTheme="minorHAnsi"/>
          <w:sz w:val="22"/>
        </w:rPr>
        <w:t xml:space="preserve"> perceived as coming from “outside” and there </w:t>
      </w:r>
      <w:r w:rsidR="001B60A3">
        <w:rPr>
          <w:rFonts w:asciiTheme="minorHAnsi" w:hAnsiTheme="minorHAnsi"/>
          <w:sz w:val="22"/>
        </w:rPr>
        <w:t>i</w:t>
      </w:r>
      <w:r w:rsidR="002319FB" w:rsidRPr="009A141F">
        <w:rPr>
          <w:rFonts w:asciiTheme="minorHAnsi" w:hAnsiTheme="minorHAnsi"/>
          <w:sz w:val="22"/>
        </w:rPr>
        <w:t>s little or no sense of ownership</w:t>
      </w:r>
      <w:r w:rsidR="008E5325" w:rsidRPr="009A141F">
        <w:rPr>
          <w:rFonts w:asciiTheme="minorHAnsi" w:hAnsiTheme="minorHAnsi"/>
          <w:sz w:val="22"/>
        </w:rPr>
        <w:t xml:space="preserve"> (IIED, 2013)</w:t>
      </w:r>
      <w:r w:rsidR="002319FB" w:rsidRPr="009A141F">
        <w:rPr>
          <w:rFonts w:asciiTheme="minorHAnsi" w:hAnsiTheme="minorHAnsi"/>
          <w:sz w:val="22"/>
        </w:rPr>
        <w:t xml:space="preserve">.  </w:t>
      </w:r>
      <w:r w:rsidR="009A141F" w:rsidRPr="009A141F">
        <w:rPr>
          <w:rFonts w:asciiTheme="minorHAnsi" w:hAnsiTheme="minorHAnsi"/>
          <w:sz w:val="22"/>
        </w:rPr>
        <w:t xml:space="preserve">Experience </w:t>
      </w:r>
      <w:r w:rsidR="00005C5C">
        <w:rPr>
          <w:rFonts w:asciiTheme="minorHAnsi" w:hAnsiTheme="minorHAnsi"/>
          <w:sz w:val="22"/>
        </w:rPr>
        <w:t xml:space="preserve">therefore </w:t>
      </w:r>
      <w:r w:rsidR="009A141F" w:rsidRPr="009A141F">
        <w:rPr>
          <w:rFonts w:asciiTheme="minorHAnsi" w:hAnsiTheme="minorHAnsi"/>
          <w:sz w:val="22"/>
        </w:rPr>
        <w:t>shows that m</w:t>
      </w:r>
      <w:r w:rsidR="00E66B08" w:rsidRPr="009A141F">
        <w:rPr>
          <w:rFonts w:asciiTheme="minorHAnsi" w:hAnsiTheme="minorHAnsi"/>
          <w:sz w:val="22"/>
        </w:rPr>
        <w:t xml:space="preserve">ainstreaming will only </w:t>
      </w:r>
      <w:r w:rsidR="002366EB" w:rsidRPr="009A141F">
        <w:rPr>
          <w:rFonts w:asciiTheme="minorHAnsi" w:hAnsiTheme="minorHAnsi"/>
          <w:sz w:val="22"/>
        </w:rPr>
        <w:t xml:space="preserve">be </w:t>
      </w:r>
      <w:r w:rsidR="008E5325" w:rsidRPr="009A141F">
        <w:rPr>
          <w:rFonts w:asciiTheme="minorHAnsi" w:hAnsiTheme="minorHAnsi"/>
          <w:sz w:val="22"/>
        </w:rPr>
        <w:t xml:space="preserve">successful, pragmatic, </w:t>
      </w:r>
      <w:r w:rsidR="001B60A3">
        <w:rPr>
          <w:rFonts w:asciiTheme="minorHAnsi" w:hAnsiTheme="minorHAnsi"/>
          <w:sz w:val="22"/>
        </w:rPr>
        <w:t xml:space="preserve">and </w:t>
      </w:r>
      <w:r w:rsidR="008E5325" w:rsidRPr="009A141F">
        <w:rPr>
          <w:rFonts w:asciiTheme="minorHAnsi" w:hAnsiTheme="minorHAnsi"/>
          <w:sz w:val="22"/>
        </w:rPr>
        <w:t>context specific</w:t>
      </w:r>
      <w:r w:rsidR="006818D1" w:rsidRPr="009A141F">
        <w:rPr>
          <w:rFonts w:asciiTheme="minorHAnsi" w:hAnsiTheme="minorHAnsi"/>
          <w:sz w:val="22"/>
        </w:rPr>
        <w:t>,</w:t>
      </w:r>
      <w:r w:rsidR="00E66B08" w:rsidRPr="009A141F">
        <w:rPr>
          <w:rFonts w:asciiTheme="minorHAnsi" w:hAnsiTheme="minorHAnsi"/>
          <w:sz w:val="22"/>
        </w:rPr>
        <w:t xml:space="preserve"> if it is guided by nationally driven solutions </w:t>
      </w:r>
      <w:r w:rsidR="008E5325" w:rsidRPr="009A141F">
        <w:rPr>
          <w:rFonts w:asciiTheme="minorHAnsi" w:hAnsiTheme="minorHAnsi"/>
          <w:sz w:val="22"/>
        </w:rPr>
        <w:t xml:space="preserve">and </w:t>
      </w:r>
      <w:r w:rsidR="006818D1" w:rsidRPr="009A141F">
        <w:rPr>
          <w:rFonts w:asciiTheme="minorHAnsi" w:hAnsiTheme="minorHAnsi"/>
          <w:sz w:val="22"/>
        </w:rPr>
        <w:t>draws upon a country’s own</w:t>
      </w:r>
      <w:r w:rsidR="008E5325" w:rsidRPr="009A141F">
        <w:rPr>
          <w:rFonts w:asciiTheme="minorHAnsi" w:hAnsiTheme="minorHAnsi"/>
          <w:sz w:val="22"/>
        </w:rPr>
        <w:t xml:space="preserve"> systems</w:t>
      </w:r>
      <w:r w:rsidR="009A141F" w:rsidRPr="009A141F">
        <w:rPr>
          <w:rFonts w:asciiTheme="minorHAnsi" w:hAnsiTheme="minorHAnsi"/>
          <w:sz w:val="22"/>
        </w:rPr>
        <w:t>, priorities</w:t>
      </w:r>
      <w:r w:rsidR="008E5325" w:rsidRPr="009A141F">
        <w:rPr>
          <w:rFonts w:asciiTheme="minorHAnsi" w:hAnsiTheme="minorHAnsi"/>
          <w:sz w:val="22"/>
        </w:rPr>
        <w:t xml:space="preserve"> and capacities</w:t>
      </w:r>
      <w:r w:rsidR="009A141F" w:rsidRPr="009A141F">
        <w:rPr>
          <w:rFonts w:asciiTheme="minorHAnsi" w:hAnsiTheme="minorHAnsi"/>
          <w:sz w:val="22"/>
        </w:rPr>
        <w:t xml:space="preserve"> with “</w:t>
      </w:r>
      <w:r w:rsidR="002319FB" w:rsidRPr="009A141F">
        <w:rPr>
          <w:rFonts w:asciiTheme="minorHAnsi" w:hAnsiTheme="minorHAnsi"/>
          <w:i/>
          <w:sz w:val="22"/>
        </w:rPr>
        <w:t>planning expertise as the</w:t>
      </w:r>
      <w:r w:rsidR="00D00729" w:rsidRPr="009A141F">
        <w:rPr>
          <w:rFonts w:asciiTheme="minorHAnsi" w:hAnsiTheme="minorHAnsi"/>
          <w:i/>
          <w:sz w:val="22"/>
        </w:rPr>
        <w:t xml:space="preserve"> engine</w:t>
      </w:r>
      <w:r w:rsidR="006818D1" w:rsidRPr="009A141F">
        <w:rPr>
          <w:rFonts w:asciiTheme="minorHAnsi" w:hAnsiTheme="minorHAnsi"/>
          <w:i/>
          <w:sz w:val="22"/>
        </w:rPr>
        <w:t xml:space="preserve">” </w:t>
      </w:r>
      <w:r w:rsidR="006818D1" w:rsidRPr="009A141F">
        <w:rPr>
          <w:rFonts w:asciiTheme="minorHAnsi" w:hAnsiTheme="minorHAnsi"/>
          <w:sz w:val="22"/>
        </w:rPr>
        <w:t>(IIED, 2013)</w:t>
      </w:r>
      <w:r w:rsidR="00D00729" w:rsidRPr="009A141F">
        <w:rPr>
          <w:rFonts w:asciiTheme="minorHAnsi" w:hAnsiTheme="minorHAnsi"/>
          <w:i/>
          <w:sz w:val="22"/>
        </w:rPr>
        <w:t xml:space="preserve">. </w:t>
      </w:r>
      <w:r w:rsidR="009A141F" w:rsidRPr="009A141F">
        <w:rPr>
          <w:rFonts w:asciiTheme="minorHAnsi" w:hAnsiTheme="minorHAnsi"/>
          <w:sz w:val="22"/>
        </w:rPr>
        <w:t>For example,</w:t>
      </w:r>
      <w:r w:rsidR="009A141F">
        <w:rPr>
          <w:rFonts w:asciiTheme="minorHAnsi" w:hAnsiTheme="minorHAnsi"/>
          <w:sz w:val="22"/>
        </w:rPr>
        <w:t xml:space="preserve"> experience in Bangladesh has shown the importance of a “</w:t>
      </w:r>
      <w:r w:rsidR="009A141F" w:rsidRPr="00005C5C">
        <w:rPr>
          <w:rFonts w:asciiTheme="minorHAnsi" w:hAnsiTheme="minorHAnsi"/>
          <w:i/>
          <w:sz w:val="22"/>
        </w:rPr>
        <w:t>whole of government approach</w:t>
      </w:r>
      <w:r w:rsidR="009A141F">
        <w:rPr>
          <w:rFonts w:asciiTheme="minorHAnsi" w:hAnsiTheme="minorHAnsi"/>
          <w:sz w:val="22"/>
        </w:rPr>
        <w:t>”</w:t>
      </w:r>
      <w:r w:rsidR="009A141F" w:rsidRPr="009A141F">
        <w:rPr>
          <w:rFonts w:asciiTheme="minorHAnsi" w:hAnsiTheme="minorHAnsi"/>
          <w:sz w:val="22"/>
        </w:rPr>
        <w:t xml:space="preserve"> </w:t>
      </w:r>
      <w:r w:rsidR="009A141F">
        <w:rPr>
          <w:rFonts w:asciiTheme="minorHAnsi" w:hAnsiTheme="minorHAnsi"/>
          <w:sz w:val="22"/>
        </w:rPr>
        <w:t xml:space="preserve">and practitioners in Korea and Malawi have </w:t>
      </w:r>
      <w:r w:rsidR="00005C5C">
        <w:rPr>
          <w:rFonts w:asciiTheme="minorHAnsi" w:hAnsiTheme="minorHAnsi"/>
          <w:sz w:val="22"/>
        </w:rPr>
        <w:t xml:space="preserve">identified </w:t>
      </w:r>
      <w:r w:rsidR="009A141F">
        <w:rPr>
          <w:rFonts w:asciiTheme="minorHAnsi" w:hAnsiTheme="minorHAnsi"/>
          <w:sz w:val="22"/>
        </w:rPr>
        <w:t xml:space="preserve">hat ownership at the subnational and community levels </w:t>
      </w:r>
      <w:r w:rsidR="00005C5C">
        <w:rPr>
          <w:rFonts w:asciiTheme="minorHAnsi" w:hAnsiTheme="minorHAnsi"/>
          <w:sz w:val="22"/>
        </w:rPr>
        <w:t>is</w:t>
      </w:r>
      <w:r w:rsidR="009A141F">
        <w:rPr>
          <w:rFonts w:asciiTheme="minorHAnsi" w:hAnsiTheme="minorHAnsi"/>
          <w:sz w:val="22"/>
        </w:rPr>
        <w:t xml:space="preserve"> essential</w:t>
      </w:r>
      <w:r w:rsidR="009A141F">
        <w:rPr>
          <w:rStyle w:val="FootnoteReference"/>
          <w:rFonts w:asciiTheme="minorHAnsi" w:hAnsiTheme="minorHAnsi"/>
          <w:sz w:val="22"/>
        </w:rPr>
        <w:footnoteReference w:id="6"/>
      </w:r>
      <w:r w:rsidR="005E5F7C" w:rsidRPr="009A141F">
        <w:rPr>
          <w:rFonts w:asciiTheme="minorHAnsi" w:hAnsiTheme="minorHAnsi"/>
          <w:sz w:val="22"/>
        </w:rPr>
        <w:t xml:space="preserve">.  </w:t>
      </w:r>
    </w:p>
    <w:p w14:paraId="75EF67E4" w14:textId="77777777" w:rsidR="009A141F" w:rsidRPr="009A141F" w:rsidRDefault="009A141F" w:rsidP="009A141F">
      <w:pPr>
        <w:pStyle w:val="ListParagraph"/>
        <w:ind w:left="360"/>
        <w:jc w:val="both"/>
        <w:rPr>
          <w:rFonts w:asciiTheme="minorHAnsi" w:hAnsiTheme="minorHAnsi"/>
          <w:sz w:val="22"/>
        </w:rPr>
      </w:pPr>
    </w:p>
    <w:p w14:paraId="0BF5EEF8" w14:textId="6FCD233E" w:rsidR="003D6580" w:rsidRPr="00D00729" w:rsidRDefault="003D6580" w:rsidP="00A76FF0">
      <w:pPr>
        <w:pStyle w:val="ListParagraph"/>
        <w:ind w:left="360"/>
        <w:jc w:val="both"/>
        <w:rPr>
          <w:rFonts w:asciiTheme="minorHAnsi" w:hAnsiTheme="minorHAnsi"/>
          <w:i/>
          <w:color w:val="ED7D31" w:themeColor="accent2"/>
          <w:sz w:val="22"/>
        </w:rPr>
      </w:pPr>
      <w:r w:rsidRPr="00D00729">
        <w:rPr>
          <w:i/>
          <w:noProof/>
          <w:color w:val="ED7D31" w:themeColor="accent2"/>
          <w:lang w:val="en-US"/>
        </w:rPr>
        <w:drawing>
          <wp:anchor distT="0" distB="0" distL="114300" distR="114300" simplePos="0" relativeHeight="251711488" behindDoc="1" locked="0" layoutInCell="1" allowOverlap="1" wp14:anchorId="1365E494" wp14:editId="7F85BB5C">
            <wp:simplePos x="0" y="0"/>
            <wp:positionH relativeFrom="margin">
              <wp:posOffset>237490</wp:posOffset>
            </wp:positionH>
            <wp:positionV relativeFrom="paragraph">
              <wp:posOffset>19050</wp:posOffset>
            </wp:positionV>
            <wp:extent cx="333375" cy="333375"/>
            <wp:effectExtent l="0" t="0" r="9525" b="9525"/>
            <wp:wrapTight wrapText="bothSides">
              <wp:wrapPolygon edited="0">
                <wp:start x="0" y="0"/>
                <wp:lineTo x="0" y="20983"/>
                <wp:lineTo x="20983" y="20983"/>
                <wp:lineTo x="2098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r w:rsidRPr="00D00729">
        <w:rPr>
          <w:rFonts w:ascii="Calibri" w:hAnsi="Calibri"/>
          <w:i/>
          <w:color w:val="ED7D31" w:themeColor="accent2"/>
          <w:sz w:val="22"/>
        </w:rPr>
        <w:t xml:space="preserve">This tool supports a </w:t>
      </w:r>
      <w:r w:rsidR="00542921">
        <w:rPr>
          <w:rFonts w:ascii="Calibri" w:hAnsi="Calibri"/>
          <w:i/>
          <w:color w:val="ED7D31" w:themeColor="accent2"/>
          <w:sz w:val="22"/>
        </w:rPr>
        <w:t>country</w:t>
      </w:r>
      <w:r w:rsidRPr="00D00729">
        <w:rPr>
          <w:rFonts w:ascii="Calibri" w:hAnsi="Calibri"/>
          <w:i/>
          <w:color w:val="ED7D31" w:themeColor="accent2"/>
          <w:sz w:val="22"/>
        </w:rPr>
        <w:t xml:space="preserve"> led </w:t>
      </w:r>
      <w:r w:rsidR="009917A1">
        <w:rPr>
          <w:rFonts w:ascii="Calibri" w:hAnsi="Calibri"/>
          <w:i/>
          <w:color w:val="ED7D31" w:themeColor="accent2"/>
          <w:sz w:val="22"/>
        </w:rPr>
        <w:t xml:space="preserve">mainstreaming </w:t>
      </w:r>
      <w:r w:rsidRPr="00D00729">
        <w:rPr>
          <w:rFonts w:ascii="Calibri" w:hAnsi="Calibri"/>
          <w:i/>
          <w:color w:val="ED7D31" w:themeColor="accent2"/>
          <w:sz w:val="22"/>
        </w:rPr>
        <w:t>proces</w:t>
      </w:r>
      <w:r w:rsidR="00BC0EBE" w:rsidRPr="00D00729">
        <w:rPr>
          <w:rFonts w:ascii="Calibri" w:hAnsi="Calibri"/>
          <w:i/>
          <w:color w:val="ED7D31" w:themeColor="accent2"/>
          <w:sz w:val="22"/>
        </w:rPr>
        <w:t xml:space="preserve">s owned by </w:t>
      </w:r>
      <w:r w:rsidR="00542921">
        <w:rPr>
          <w:rFonts w:ascii="Calibri" w:hAnsi="Calibri"/>
          <w:i/>
          <w:color w:val="ED7D31" w:themeColor="accent2"/>
          <w:sz w:val="22"/>
        </w:rPr>
        <w:t xml:space="preserve">national </w:t>
      </w:r>
      <w:r w:rsidR="00BC0EBE" w:rsidRPr="00D00729">
        <w:rPr>
          <w:rFonts w:ascii="Calibri" w:hAnsi="Calibri"/>
          <w:i/>
          <w:color w:val="ED7D31" w:themeColor="accent2"/>
          <w:sz w:val="22"/>
        </w:rPr>
        <w:t>champions</w:t>
      </w:r>
      <w:r w:rsidR="00542921">
        <w:rPr>
          <w:rFonts w:ascii="Calibri" w:hAnsi="Calibri"/>
          <w:i/>
          <w:color w:val="ED7D31" w:themeColor="accent2"/>
          <w:sz w:val="22"/>
        </w:rPr>
        <w:t xml:space="preserve"> at all levels</w:t>
      </w:r>
      <w:r w:rsidR="006818D1">
        <w:rPr>
          <w:rFonts w:ascii="Calibri" w:hAnsi="Calibri"/>
          <w:i/>
          <w:color w:val="ED7D31" w:themeColor="accent2"/>
          <w:sz w:val="22"/>
        </w:rPr>
        <w:t>.</w:t>
      </w:r>
    </w:p>
    <w:p w14:paraId="1C0B7698" w14:textId="77777777" w:rsidR="00E40CD2" w:rsidRPr="00A76FF0" w:rsidRDefault="00E40CD2" w:rsidP="00A76FF0">
      <w:pPr>
        <w:pStyle w:val="ListParagraph"/>
        <w:ind w:left="360"/>
        <w:jc w:val="both"/>
        <w:rPr>
          <w:b/>
        </w:rPr>
      </w:pPr>
    </w:p>
    <w:p w14:paraId="043F8A2F" w14:textId="4A8F2811" w:rsidR="00C578B6" w:rsidRPr="00817585" w:rsidRDefault="00A76FF0" w:rsidP="00005C5C">
      <w:pPr>
        <w:pStyle w:val="ListParagraph"/>
        <w:numPr>
          <w:ilvl w:val="0"/>
          <w:numId w:val="3"/>
        </w:numPr>
        <w:jc w:val="both"/>
        <w:rPr>
          <w:i/>
          <w:sz w:val="22"/>
        </w:rPr>
      </w:pPr>
      <w:r w:rsidRPr="00817585">
        <w:rPr>
          <w:rFonts w:ascii="Calibri" w:hAnsi="Calibri"/>
          <w:b/>
          <w:sz w:val="22"/>
        </w:rPr>
        <w:t xml:space="preserve">Mainstreaming </w:t>
      </w:r>
      <w:r w:rsidR="000C68FF" w:rsidRPr="00817585">
        <w:rPr>
          <w:rFonts w:ascii="Calibri" w:hAnsi="Calibri"/>
          <w:b/>
          <w:sz w:val="22"/>
        </w:rPr>
        <w:t>is</w:t>
      </w:r>
      <w:r w:rsidRPr="00817585">
        <w:rPr>
          <w:rFonts w:ascii="Calibri" w:hAnsi="Calibri"/>
          <w:b/>
          <w:sz w:val="22"/>
        </w:rPr>
        <w:t xml:space="preserve"> flexible, non-sequential and context specific.  </w:t>
      </w:r>
      <w:r w:rsidR="00667FEC" w:rsidRPr="00817585">
        <w:rPr>
          <w:rFonts w:ascii="Calibri" w:hAnsi="Calibri"/>
          <w:sz w:val="22"/>
        </w:rPr>
        <w:t>Mainstreaming</w:t>
      </w:r>
      <w:r w:rsidR="009B64A5" w:rsidRPr="00817585">
        <w:rPr>
          <w:rFonts w:ascii="Calibri" w:hAnsi="Calibri"/>
          <w:sz w:val="22"/>
        </w:rPr>
        <w:t xml:space="preserve"> is not a linear process</w:t>
      </w:r>
      <w:r w:rsidR="00BC0EBE" w:rsidRPr="00817585">
        <w:rPr>
          <w:rFonts w:ascii="Calibri" w:hAnsi="Calibri"/>
          <w:sz w:val="22"/>
        </w:rPr>
        <w:t>; there is no blueprint</w:t>
      </w:r>
      <w:r w:rsidR="009B64A5" w:rsidRPr="00817585">
        <w:rPr>
          <w:rFonts w:ascii="Calibri" w:hAnsi="Calibri"/>
          <w:sz w:val="22"/>
        </w:rPr>
        <w:t xml:space="preserve"> and each country will have different start and end points.  </w:t>
      </w:r>
      <w:r w:rsidR="003D6580" w:rsidRPr="00817585">
        <w:rPr>
          <w:rFonts w:ascii="Calibri" w:hAnsi="Calibri"/>
          <w:sz w:val="22"/>
        </w:rPr>
        <w:t>Experience shows that no context is the same</w:t>
      </w:r>
      <w:r w:rsidR="00306BA2" w:rsidRPr="00817585">
        <w:rPr>
          <w:rFonts w:ascii="Calibri" w:hAnsi="Calibri"/>
          <w:sz w:val="22"/>
        </w:rPr>
        <w:t xml:space="preserve"> and </w:t>
      </w:r>
      <w:r w:rsidR="009A141F">
        <w:rPr>
          <w:rFonts w:ascii="Calibri" w:hAnsi="Calibri"/>
          <w:sz w:val="22"/>
        </w:rPr>
        <w:t>it is important to be sensitive to the: “</w:t>
      </w:r>
      <w:r w:rsidR="00306BA2" w:rsidRPr="00817585">
        <w:rPr>
          <w:rFonts w:asciiTheme="minorHAnsi" w:hAnsiTheme="minorHAnsi"/>
          <w:i/>
          <w:sz w:val="22"/>
        </w:rPr>
        <w:t>unique histories, political ideologies, cultures and aspirations”</w:t>
      </w:r>
      <w:r w:rsidR="009A141F">
        <w:rPr>
          <w:rFonts w:asciiTheme="minorHAnsi" w:hAnsiTheme="minorHAnsi"/>
          <w:i/>
          <w:sz w:val="22"/>
        </w:rPr>
        <w:t xml:space="preserve"> </w:t>
      </w:r>
      <w:r w:rsidR="009A141F">
        <w:rPr>
          <w:rFonts w:asciiTheme="minorHAnsi" w:hAnsiTheme="minorHAnsi"/>
          <w:sz w:val="22"/>
        </w:rPr>
        <w:t>of a country</w:t>
      </w:r>
      <w:r w:rsidR="00306BA2" w:rsidRPr="00817585">
        <w:rPr>
          <w:rFonts w:asciiTheme="minorHAnsi" w:hAnsiTheme="minorHAnsi"/>
          <w:i/>
          <w:sz w:val="22"/>
        </w:rPr>
        <w:t xml:space="preserve"> (Mohamed, Canada).</w:t>
      </w:r>
      <w:r w:rsidR="00EF57E2" w:rsidRPr="00817585">
        <w:rPr>
          <w:rFonts w:asciiTheme="minorHAnsi" w:hAnsiTheme="minorHAnsi"/>
          <w:i/>
          <w:sz w:val="22"/>
        </w:rPr>
        <w:t xml:space="preserve"> </w:t>
      </w:r>
      <w:r w:rsidR="00005C5C">
        <w:rPr>
          <w:rFonts w:asciiTheme="minorHAnsi" w:hAnsiTheme="minorHAnsi"/>
          <w:sz w:val="22"/>
        </w:rPr>
        <w:t xml:space="preserve">This tool therefore advocates for a </w:t>
      </w:r>
      <w:r w:rsidR="00C578B6" w:rsidRPr="00817585">
        <w:rPr>
          <w:rFonts w:asciiTheme="minorHAnsi" w:hAnsiTheme="minorHAnsi"/>
          <w:sz w:val="22"/>
        </w:rPr>
        <w:t>dynamic and nonlinear</w:t>
      </w:r>
      <w:r w:rsidR="00005C5C">
        <w:rPr>
          <w:rFonts w:asciiTheme="minorHAnsi" w:hAnsiTheme="minorHAnsi"/>
          <w:sz w:val="22"/>
        </w:rPr>
        <w:t xml:space="preserve"> approach to mainstreaming.  This is supported by e</w:t>
      </w:r>
      <w:r w:rsidR="00FC4990">
        <w:rPr>
          <w:rFonts w:asciiTheme="minorHAnsi" w:hAnsiTheme="minorHAnsi"/>
          <w:sz w:val="22"/>
        </w:rPr>
        <w:t xml:space="preserve">xperience </w:t>
      </w:r>
      <w:r w:rsidR="001B60A3">
        <w:rPr>
          <w:rFonts w:asciiTheme="minorHAnsi" w:hAnsiTheme="minorHAnsi"/>
          <w:sz w:val="22"/>
        </w:rPr>
        <w:t>in many countries</w:t>
      </w:r>
      <w:r w:rsidR="00005C5C">
        <w:rPr>
          <w:rFonts w:asciiTheme="minorHAnsi" w:hAnsiTheme="minorHAnsi"/>
          <w:sz w:val="22"/>
        </w:rPr>
        <w:t>, which</w:t>
      </w:r>
      <w:r w:rsidR="00FC4990">
        <w:rPr>
          <w:rFonts w:asciiTheme="minorHAnsi" w:hAnsiTheme="minorHAnsi"/>
          <w:sz w:val="22"/>
        </w:rPr>
        <w:t xml:space="preserve"> shows that mainstreaming at times needs to be opportunistic and timing is critical: </w:t>
      </w:r>
      <w:r w:rsidR="00C578B6" w:rsidRPr="00817585">
        <w:rPr>
          <w:rFonts w:asciiTheme="minorHAnsi" w:hAnsiTheme="minorHAnsi"/>
          <w:sz w:val="22"/>
        </w:rPr>
        <w:t>“</w:t>
      </w:r>
      <w:r w:rsidR="00817585" w:rsidRPr="00817585">
        <w:rPr>
          <w:rFonts w:asciiTheme="minorHAnsi" w:hAnsiTheme="minorHAnsi"/>
          <w:i/>
          <w:sz w:val="22"/>
        </w:rPr>
        <w:t>a</w:t>
      </w:r>
      <w:r w:rsidR="00C578B6" w:rsidRPr="00817585">
        <w:rPr>
          <w:rFonts w:asciiTheme="minorHAnsi" w:hAnsiTheme="minorHAnsi"/>
          <w:i/>
          <w:sz w:val="22"/>
        </w:rPr>
        <w:t>lthough it is fundamental to take a structured approach, where opportunity arises then</w:t>
      </w:r>
      <w:r w:rsidR="00FC4990">
        <w:rPr>
          <w:rFonts w:asciiTheme="minorHAnsi" w:hAnsiTheme="minorHAnsi"/>
          <w:i/>
          <w:sz w:val="22"/>
        </w:rPr>
        <w:t xml:space="preserve"> these</w:t>
      </w:r>
      <w:r w:rsidR="00C578B6" w:rsidRPr="00817585">
        <w:rPr>
          <w:rFonts w:asciiTheme="minorHAnsi" w:hAnsiTheme="minorHAnsi"/>
          <w:i/>
          <w:sz w:val="22"/>
        </w:rPr>
        <w:t xml:space="preserve"> need to be effectively tapped</w:t>
      </w:r>
      <w:r w:rsidR="00FC4990">
        <w:rPr>
          <w:rFonts w:asciiTheme="minorHAnsi" w:hAnsiTheme="minorHAnsi"/>
          <w:i/>
          <w:sz w:val="22"/>
        </w:rPr>
        <w:t xml:space="preserve">” </w:t>
      </w:r>
      <w:r w:rsidR="00C578B6" w:rsidRPr="00817585">
        <w:rPr>
          <w:rFonts w:asciiTheme="minorHAnsi" w:hAnsiTheme="minorHAnsi"/>
          <w:i/>
          <w:sz w:val="22"/>
        </w:rPr>
        <w:t>(Dalesa, 2015)</w:t>
      </w:r>
      <w:r w:rsidR="00005C5C">
        <w:rPr>
          <w:rFonts w:asciiTheme="minorHAnsi" w:hAnsiTheme="minorHAnsi"/>
          <w:i/>
          <w:sz w:val="22"/>
        </w:rPr>
        <w:t>.</w:t>
      </w:r>
    </w:p>
    <w:p w14:paraId="31935FA0" w14:textId="7C3C9747" w:rsidR="00EF57E2" w:rsidRPr="00D00729" w:rsidRDefault="00EF57E2" w:rsidP="00C578B6">
      <w:pPr>
        <w:pStyle w:val="ListParagraph"/>
        <w:ind w:left="360"/>
        <w:jc w:val="both"/>
        <w:rPr>
          <w:rFonts w:ascii="Calibri" w:hAnsi="Calibri"/>
          <w:sz w:val="22"/>
          <w:lang w:val="en"/>
        </w:rPr>
      </w:pPr>
    </w:p>
    <w:p w14:paraId="2A7DB2C5" w14:textId="393A6B1F" w:rsidR="00FE5C46" w:rsidRPr="00D00729" w:rsidRDefault="00D00729" w:rsidP="00D00729">
      <w:pPr>
        <w:pStyle w:val="ListParagraph"/>
        <w:ind w:left="993"/>
        <w:jc w:val="both"/>
        <w:rPr>
          <w:b/>
          <w:i/>
          <w:color w:val="ED7D31" w:themeColor="accent2"/>
        </w:rPr>
      </w:pPr>
      <w:r w:rsidRPr="00D00729">
        <w:rPr>
          <w:i/>
          <w:noProof/>
          <w:color w:val="ED7D31" w:themeColor="accent2"/>
          <w:lang w:val="en-US"/>
        </w:rPr>
        <w:drawing>
          <wp:anchor distT="0" distB="0" distL="114300" distR="114300" simplePos="0" relativeHeight="251713536" behindDoc="1" locked="0" layoutInCell="1" allowOverlap="1" wp14:anchorId="01695CE6" wp14:editId="4871BE78">
            <wp:simplePos x="0" y="0"/>
            <wp:positionH relativeFrom="margin">
              <wp:posOffset>180975</wp:posOffset>
            </wp:positionH>
            <wp:positionV relativeFrom="paragraph">
              <wp:posOffset>4445</wp:posOffset>
            </wp:positionV>
            <wp:extent cx="333375" cy="333375"/>
            <wp:effectExtent l="0" t="0" r="9525" b="9525"/>
            <wp:wrapTight wrapText="bothSides">
              <wp:wrapPolygon edited="0">
                <wp:start x="0" y="0"/>
                <wp:lineTo x="0" y="20983"/>
                <wp:lineTo x="20983" y="20983"/>
                <wp:lineTo x="2098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r w:rsidR="009B64A5" w:rsidRPr="00D00729">
        <w:rPr>
          <w:rFonts w:ascii="Calibri" w:hAnsi="Calibri"/>
          <w:i/>
          <w:color w:val="ED7D31" w:themeColor="accent2"/>
          <w:sz w:val="22"/>
        </w:rPr>
        <w:t xml:space="preserve">This tool can be </w:t>
      </w:r>
      <w:r w:rsidR="009917A1">
        <w:rPr>
          <w:rFonts w:ascii="Calibri" w:hAnsi="Calibri"/>
          <w:i/>
          <w:color w:val="ED7D31" w:themeColor="accent2"/>
          <w:sz w:val="22"/>
        </w:rPr>
        <w:t xml:space="preserve">applied to </w:t>
      </w:r>
      <w:r w:rsidR="005B3F1E">
        <w:rPr>
          <w:rFonts w:ascii="Calibri" w:hAnsi="Calibri"/>
          <w:i/>
          <w:color w:val="ED7D31" w:themeColor="accent2"/>
          <w:sz w:val="22"/>
        </w:rPr>
        <w:t xml:space="preserve">different </w:t>
      </w:r>
      <w:r w:rsidR="009B64A5" w:rsidRPr="00D00729">
        <w:rPr>
          <w:rFonts w:ascii="Calibri" w:hAnsi="Calibri"/>
          <w:i/>
          <w:color w:val="ED7D31" w:themeColor="accent2"/>
          <w:sz w:val="22"/>
        </w:rPr>
        <w:t>country context</w:t>
      </w:r>
      <w:r w:rsidR="009917A1">
        <w:rPr>
          <w:rFonts w:ascii="Calibri" w:hAnsi="Calibri"/>
          <w:i/>
          <w:color w:val="ED7D31" w:themeColor="accent2"/>
          <w:sz w:val="22"/>
        </w:rPr>
        <w:t xml:space="preserve"> and has the flexibility to support </w:t>
      </w:r>
      <w:r w:rsidR="00005C5C">
        <w:rPr>
          <w:rFonts w:ascii="Calibri" w:hAnsi="Calibri"/>
          <w:i/>
          <w:color w:val="ED7D31" w:themeColor="accent2"/>
          <w:sz w:val="22"/>
        </w:rPr>
        <w:t>varied</w:t>
      </w:r>
      <w:r w:rsidR="009917A1">
        <w:rPr>
          <w:rFonts w:ascii="Calibri" w:hAnsi="Calibri"/>
          <w:i/>
          <w:color w:val="ED7D31" w:themeColor="accent2"/>
          <w:sz w:val="22"/>
        </w:rPr>
        <w:t xml:space="preserve"> priorities and therefore </w:t>
      </w:r>
      <w:r w:rsidR="00005C5C">
        <w:rPr>
          <w:rFonts w:ascii="Calibri" w:hAnsi="Calibri"/>
          <w:i/>
          <w:color w:val="ED7D31" w:themeColor="accent2"/>
          <w:sz w:val="22"/>
        </w:rPr>
        <w:t xml:space="preserve">differing </w:t>
      </w:r>
      <w:r w:rsidR="009917A1">
        <w:rPr>
          <w:rFonts w:ascii="Calibri" w:hAnsi="Calibri"/>
          <w:i/>
          <w:color w:val="ED7D31" w:themeColor="accent2"/>
          <w:sz w:val="22"/>
        </w:rPr>
        <w:t>mainstreaming entry points.</w:t>
      </w:r>
      <w:r w:rsidR="00BC0EBE" w:rsidRPr="00D00729">
        <w:rPr>
          <w:rFonts w:ascii="Calibri" w:hAnsi="Calibri"/>
          <w:i/>
          <w:color w:val="ED7D31" w:themeColor="accent2"/>
          <w:sz w:val="22"/>
        </w:rPr>
        <w:t xml:space="preserve"> </w:t>
      </w:r>
    </w:p>
    <w:p w14:paraId="5AB1CF65" w14:textId="77777777" w:rsidR="00FE5C46" w:rsidRPr="00FE5C46" w:rsidRDefault="00FE5C46" w:rsidP="00FE5C46">
      <w:pPr>
        <w:pStyle w:val="ListParagraph"/>
        <w:rPr>
          <w:rFonts w:ascii="Calibri" w:hAnsi="Calibri"/>
          <w:b/>
          <w:sz w:val="22"/>
        </w:rPr>
      </w:pPr>
    </w:p>
    <w:p w14:paraId="62A00E82" w14:textId="154146BC" w:rsidR="00A76FF0" w:rsidRPr="00817585" w:rsidRDefault="00FE5C46" w:rsidP="00005C5C">
      <w:pPr>
        <w:pStyle w:val="ListParagraph"/>
        <w:numPr>
          <w:ilvl w:val="0"/>
          <w:numId w:val="3"/>
        </w:numPr>
        <w:jc w:val="both"/>
        <w:rPr>
          <w:b/>
          <w:sz w:val="22"/>
        </w:rPr>
      </w:pPr>
      <w:r>
        <w:rPr>
          <w:rFonts w:ascii="Calibri" w:hAnsi="Calibri"/>
          <w:b/>
          <w:sz w:val="22"/>
        </w:rPr>
        <w:t xml:space="preserve">Mainstreaming </w:t>
      </w:r>
      <w:r w:rsidR="00005C5C">
        <w:rPr>
          <w:rFonts w:ascii="Calibri" w:hAnsi="Calibri"/>
          <w:b/>
          <w:sz w:val="22"/>
        </w:rPr>
        <w:t>is a long term process</w:t>
      </w:r>
      <w:r w:rsidR="000C68FF">
        <w:rPr>
          <w:rFonts w:ascii="Calibri" w:hAnsi="Calibri"/>
          <w:b/>
          <w:sz w:val="22"/>
        </w:rPr>
        <w:t>.</w:t>
      </w:r>
      <w:r>
        <w:rPr>
          <w:rFonts w:ascii="Calibri" w:hAnsi="Calibri"/>
          <w:b/>
          <w:sz w:val="22"/>
        </w:rPr>
        <w:t xml:space="preserve"> </w:t>
      </w:r>
      <w:r>
        <w:rPr>
          <w:rFonts w:ascii="Calibri" w:hAnsi="Calibri"/>
          <w:sz w:val="22"/>
        </w:rPr>
        <w:t>Mainstreaming is a</w:t>
      </w:r>
      <w:r w:rsidR="000C68FF">
        <w:rPr>
          <w:rFonts w:ascii="Calibri" w:hAnsi="Calibri"/>
          <w:sz w:val="22"/>
        </w:rPr>
        <w:t xml:space="preserve"> long term, </w:t>
      </w:r>
      <w:r>
        <w:rPr>
          <w:rFonts w:ascii="Calibri" w:hAnsi="Calibri"/>
          <w:sz w:val="22"/>
        </w:rPr>
        <w:t>ongoing, iterative process given that risks and circumstances are constantly changing</w:t>
      </w:r>
      <w:r w:rsidR="00306BA2">
        <w:rPr>
          <w:rFonts w:ascii="Calibri" w:hAnsi="Calibri"/>
          <w:sz w:val="22"/>
        </w:rPr>
        <w:t xml:space="preserve">. </w:t>
      </w:r>
      <w:r w:rsidR="00A44CB2">
        <w:rPr>
          <w:rFonts w:ascii="Calibri" w:hAnsi="Calibri"/>
          <w:sz w:val="22"/>
        </w:rPr>
        <w:t xml:space="preserve">To move beyond mainstreaming as a series of piecemeal governance outputs (e.g. policies, laws and plans) requires an ongoing process of change (Aysan and Lavell, 2014) to allow for engagement and innovation. </w:t>
      </w:r>
      <w:r w:rsidR="00306BA2">
        <w:rPr>
          <w:rFonts w:ascii="Calibri" w:hAnsi="Calibri"/>
          <w:sz w:val="22"/>
        </w:rPr>
        <w:t xml:space="preserve">A recent study found that a significant time span exists between the introduction of mainstreaming as a national </w:t>
      </w:r>
      <w:r w:rsidR="00EF57E2">
        <w:rPr>
          <w:rFonts w:ascii="Calibri" w:hAnsi="Calibri"/>
          <w:sz w:val="22"/>
        </w:rPr>
        <w:t>priority</w:t>
      </w:r>
      <w:r w:rsidR="00306BA2">
        <w:rPr>
          <w:rFonts w:ascii="Calibri" w:hAnsi="Calibri"/>
          <w:sz w:val="22"/>
        </w:rPr>
        <w:t xml:space="preserve"> and its effective implementation in</w:t>
      </w:r>
      <w:r w:rsidR="009917A1">
        <w:rPr>
          <w:rFonts w:ascii="Calibri" w:hAnsi="Calibri"/>
          <w:sz w:val="22"/>
        </w:rPr>
        <w:t xml:space="preserve"> sector planning (FAO, 2014</w:t>
      </w:r>
      <w:r w:rsidR="00306BA2">
        <w:rPr>
          <w:rFonts w:ascii="Calibri" w:hAnsi="Calibri"/>
          <w:sz w:val="22"/>
        </w:rPr>
        <w:t xml:space="preserve">). </w:t>
      </w:r>
      <w:r w:rsidR="00341DCD" w:rsidRPr="00005C5C">
        <w:rPr>
          <w:rFonts w:ascii="Calibri" w:hAnsi="Calibri"/>
          <w:sz w:val="22"/>
        </w:rPr>
        <w:t xml:space="preserve">For example, in </w:t>
      </w:r>
      <w:r w:rsidR="00005C5C">
        <w:rPr>
          <w:rFonts w:ascii="Calibri" w:hAnsi="Calibri"/>
          <w:sz w:val="22"/>
        </w:rPr>
        <w:t>Bangladesh, the t</w:t>
      </w:r>
      <w:r w:rsidR="00005C5C" w:rsidRPr="00005C5C">
        <w:rPr>
          <w:rFonts w:ascii="Calibri" w:hAnsi="Calibri"/>
          <w:sz w:val="22"/>
        </w:rPr>
        <w:t>ime</w:t>
      </w:r>
      <w:r w:rsidR="00005C5C">
        <w:rPr>
          <w:rFonts w:ascii="Calibri" w:hAnsi="Calibri"/>
          <w:sz w:val="22"/>
        </w:rPr>
        <w:t xml:space="preserve"> delay</w:t>
      </w:r>
      <w:r w:rsidR="00005C5C" w:rsidRPr="00005C5C">
        <w:rPr>
          <w:rFonts w:ascii="Calibri" w:hAnsi="Calibri"/>
          <w:sz w:val="22"/>
        </w:rPr>
        <w:t xml:space="preserve"> between the 2005 introduction of mainstreaming in Bangladesh and its actual implementation in the </w:t>
      </w:r>
      <w:r w:rsidR="00005C5C">
        <w:rPr>
          <w:rFonts w:ascii="Calibri" w:hAnsi="Calibri"/>
          <w:sz w:val="22"/>
        </w:rPr>
        <w:t xml:space="preserve">agriculture </w:t>
      </w:r>
      <w:r w:rsidR="00005C5C" w:rsidRPr="00005C5C">
        <w:rPr>
          <w:rFonts w:ascii="Calibri" w:hAnsi="Calibri"/>
          <w:sz w:val="22"/>
        </w:rPr>
        <w:t>sector in 2009</w:t>
      </w:r>
      <w:r w:rsidR="00005C5C">
        <w:rPr>
          <w:rFonts w:ascii="Calibri" w:hAnsi="Calibri"/>
          <w:sz w:val="22"/>
        </w:rPr>
        <w:t xml:space="preserve"> as a comprehensive plan of action, suggests that it takes time for change to materialise (FAO, 2014).</w:t>
      </w:r>
    </w:p>
    <w:p w14:paraId="39577C3E" w14:textId="77777777" w:rsidR="00817585" w:rsidRPr="00D00729" w:rsidRDefault="00817585" w:rsidP="00817585">
      <w:pPr>
        <w:pStyle w:val="ListParagraph"/>
        <w:ind w:left="360"/>
        <w:jc w:val="both"/>
        <w:rPr>
          <w:b/>
          <w:sz w:val="22"/>
        </w:rPr>
      </w:pPr>
    </w:p>
    <w:p w14:paraId="409B676D" w14:textId="4B248F71" w:rsidR="00306BA2" w:rsidRPr="00D00729" w:rsidRDefault="00306BA2" w:rsidP="000A221E">
      <w:pPr>
        <w:pStyle w:val="ListParagraph"/>
        <w:ind w:left="1134"/>
        <w:jc w:val="both"/>
        <w:rPr>
          <w:b/>
          <w:i/>
          <w:color w:val="ED7D31" w:themeColor="accent2"/>
        </w:rPr>
      </w:pPr>
      <w:r w:rsidRPr="00D00729">
        <w:rPr>
          <w:i/>
          <w:noProof/>
          <w:color w:val="ED7D31" w:themeColor="accent2"/>
          <w:lang w:val="en-US"/>
        </w:rPr>
        <w:drawing>
          <wp:anchor distT="0" distB="0" distL="114300" distR="114300" simplePos="0" relativeHeight="251715584" behindDoc="1" locked="0" layoutInCell="1" allowOverlap="1" wp14:anchorId="72632FE7" wp14:editId="4EA4D9C9">
            <wp:simplePos x="0" y="0"/>
            <wp:positionH relativeFrom="margin">
              <wp:posOffset>261937</wp:posOffset>
            </wp:positionH>
            <wp:positionV relativeFrom="paragraph">
              <wp:posOffset>317</wp:posOffset>
            </wp:positionV>
            <wp:extent cx="333375" cy="333375"/>
            <wp:effectExtent l="0" t="0" r="9525" b="9525"/>
            <wp:wrapTight wrapText="bothSides">
              <wp:wrapPolygon edited="0">
                <wp:start x="0" y="0"/>
                <wp:lineTo x="0" y="20983"/>
                <wp:lineTo x="20983" y="20983"/>
                <wp:lineTo x="2098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r w:rsidRPr="00D00729">
        <w:rPr>
          <w:rFonts w:ascii="Calibri" w:hAnsi="Calibri"/>
          <w:i/>
          <w:color w:val="ED7D31" w:themeColor="accent2"/>
          <w:sz w:val="22"/>
        </w:rPr>
        <w:t xml:space="preserve">This tool supports </w:t>
      </w:r>
      <w:r w:rsidR="009917A1">
        <w:rPr>
          <w:rFonts w:ascii="Calibri" w:hAnsi="Calibri"/>
          <w:i/>
          <w:color w:val="ED7D31" w:themeColor="accent2"/>
          <w:sz w:val="22"/>
        </w:rPr>
        <w:t xml:space="preserve">a long term mainstreaming process, which moves beyond “quick wins” and sees mainstreaming as an ongoing process of change. </w:t>
      </w:r>
      <w:r w:rsidR="001B7729" w:rsidRPr="00D00729">
        <w:rPr>
          <w:rFonts w:ascii="Calibri" w:hAnsi="Calibri"/>
          <w:i/>
          <w:color w:val="ED7D31" w:themeColor="accent2"/>
          <w:sz w:val="22"/>
        </w:rPr>
        <w:t xml:space="preserve"> </w:t>
      </w:r>
    </w:p>
    <w:p w14:paraId="577DD586" w14:textId="77777777" w:rsidR="00FE5C46" w:rsidRPr="00FE5C46" w:rsidRDefault="00FE5C46" w:rsidP="00FE5C46">
      <w:pPr>
        <w:pStyle w:val="ListParagraph"/>
        <w:ind w:left="360"/>
        <w:jc w:val="both"/>
        <w:rPr>
          <w:b/>
        </w:rPr>
      </w:pPr>
    </w:p>
    <w:p w14:paraId="7EC362C3" w14:textId="4473DE8D" w:rsidR="00B54C97" w:rsidRPr="003F1040" w:rsidRDefault="000C68FF" w:rsidP="00A44CB2">
      <w:pPr>
        <w:pStyle w:val="ListParagraph"/>
        <w:numPr>
          <w:ilvl w:val="0"/>
          <w:numId w:val="3"/>
        </w:numPr>
        <w:jc w:val="both"/>
        <w:rPr>
          <w:rFonts w:asciiTheme="minorHAnsi" w:hAnsiTheme="minorHAnsi"/>
          <w:i/>
          <w:sz w:val="22"/>
        </w:rPr>
      </w:pPr>
      <w:r w:rsidRPr="003F1040">
        <w:rPr>
          <w:rFonts w:asciiTheme="minorHAnsi" w:hAnsiTheme="minorHAnsi"/>
          <w:b/>
          <w:sz w:val="22"/>
        </w:rPr>
        <w:t xml:space="preserve">Mainstreaming </w:t>
      </w:r>
      <w:r w:rsidR="00667FEC" w:rsidRPr="003F1040">
        <w:rPr>
          <w:rFonts w:asciiTheme="minorHAnsi" w:hAnsiTheme="minorHAnsi"/>
          <w:b/>
          <w:sz w:val="22"/>
        </w:rPr>
        <w:t>start</w:t>
      </w:r>
      <w:r w:rsidRPr="003F1040">
        <w:rPr>
          <w:rFonts w:asciiTheme="minorHAnsi" w:hAnsiTheme="minorHAnsi"/>
          <w:b/>
          <w:sz w:val="22"/>
        </w:rPr>
        <w:t>s</w:t>
      </w:r>
      <w:r w:rsidR="00A76FF0" w:rsidRPr="003F1040">
        <w:rPr>
          <w:rFonts w:asciiTheme="minorHAnsi" w:hAnsiTheme="minorHAnsi"/>
          <w:b/>
          <w:sz w:val="22"/>
        </w:rPr>
        <w:t xml:space="preserve"> from “within” the development agenda.  </w:t>
      </w:r>
      <w:r w:rsidR="00667FEC" w:rsidRPr="003F1040">
        <w:rPr>
          <w:rFonts w:asciiTheme="minorHAnsi" w:hAnsiTheme="minorHAnsi"/>
          <w:sz w:val="22"/>
        </w:rPr>
        <w:t>Mainstreaming</w:t>
      </w:r>
      <w:r w:rsidR="00A76FF0" w:rsidRPr="003F1040">
        <w:rPr>
          <w:rFonts w:asciiTheme="minorHAnsi" w:hAnsiTheme="minorHAnsi"/>
          <w:sz w:val="22"/>
        </w:rPr>
        <w:t xml:space="preserve"> should weave</w:t>
      </w:r>
      <w:r w:rsidR="009B64A5" w:rsidRPr="003F1040">
        <w:rPr>
          <w:rFonts w:asciiTheme="minorHAnsi" w:hAnsiTheme="minorHAnsi"/>
          <w:sz w:val="22"/>
        </w:rPr>
        <w:t>,</w:t>
      </w:r>
      <w:r w:rsidR="00A76FF0" w:rsidRPr="003F1040">
        <w:rPr>
          <w:rFonts w:asciiTheme="minorHAnsi" w:hAnsiTheme="minorHAnsi"/>
          <w:sz w:val="22"/>
        </w:rPr>
        <w:t xml:space="preserve"> embed </w:t>
      </w:r>
      <w:r w:rsidR="009B64A5" w:rsidRPr="003F1040">
        <w:rPr>
          <w:rFonts w:asciiTheme="minorHAnsi" w:hAnsiTheme="minorHAnsi"/>
          <w:sz w:val="22"/>
        </w:rPr>
        <w:t xml:space="preserve">and institutionalise </w:t>
      </w:r>
      <w:r w:rsidR="00A76FF0" w:rsidRPr="003F1040">
        <w:rPr>
          <w:rFonts w:asciiTheme="minorHAnsi" w:hAnsiTheme="minorHAnsi"/>
          <w:sz w:val="22"/>
        </w:rPr>
        <w:t>risk at the “heart” of decision making</w:t>
      </w:r>
      <w:r w:rsidR="009B64A5" w:rsidRPr="003F1040">
        <w:rPr>
          <w:rFonts w:asciiTheme="minorHAnsi" w:hAnsiTheme="minorHAnsi"/>
          <w:sz w:val="22"/>
        </w:rPr>
        <w:t>;</w:t>
      </w:r>
      <w:r w:rsidR="00A76FF0" w:rsidRPr="003F1040">
        <w:rPr>
          <w:rFonts w:asciiTheme="minorHAnsi" w:hAnsiTheme="minorHAnsi"/>
          <w:sz w:val="22"/>
        </w:rPr>
        <w:t xml:space="preserve"> and strengthen existing development approaches</w:t>
      </w:r>
      <w:r w:rsidR="00275F9E" w:rsidRPr="003F1040">
        <w:rPr>
          <w:rFonts w:asciiTheme="minorHAnsi" w:hAnsiTheme="minorHAnsi"/>
          <w:sz w:val="22"/>
        </w:rPr>
        <w:t>, for example by supporting achievement of national development goals and</w:t>
      </w:r>
      <w:r w:rsidR="00A76FF0" w:rsidRPr="003F1040">
        <w:rPr>
          <w:rFonts w:asciiTheme="minorHAnsi" w:hAnsiTheme="minorHAnsi"/>
          <w:sz w:val="22"/>
        </w:rPr>
        <w:t xml:space="preserve"> national SDG related processes. </w:t>
      </w:r>
      <w:r w:rsidRPr="003F1040">
        <w:rPr>
          <w:rFonts w:asciiTheme="minorHAnsi" w:hAnsiTheme="minorHAnsi"/>
          <w:sz w:val="22"/>
        </w:rPr>
        <w:t xml:space="preserve"> </w:t>
      </w:r>
      <w:r w:rsidR="00306BA2" w:rsidRPr="003F1040">
        <w:rPr>
          <w:rFonts w:asciiTheme="minorHAnsi" w:hAnsiTheme="minorHAnsi"/>
          <w:sz w:val="22"/>
        </w:rPr>
        <w:t xml:space="preserve">As one consultation participant noted: </w:t>
      </w:r>
      <w:r w:rsidR="00306BA2" w:rsidRPr="003F1040">
        <w:rPr>
          <w:rStyle w:val="Strong"/>
          <w:rFonts w:asciiTheme="minorHAnsi" w:hAnsiTheme="minorHAnsi"/>
          <w:b w:val="0"/>
          <w:i/>
          <w:sz w:val="22"/>
        </w:rPr>
        <w:t>“</w:t>
      </w:r>
      <w:r w:rsidR="00F666DD" w:rsidRPr="003F1040">
        <w:rPr>
          <w:rStyle w:val="Strong"/>
          <w:rFonts w:asciiTheme="minorHAnsi" w:hAnsiTheme="minorHAnsi"/>
          <w:b w:val="0"/>
          <w:i/>
          <w:sz w:val="22"/>
        </w:rPr>
        <w:t>e</w:t>
      </w:r>
      <w:r w:rsidR="00306BA2" w:rsidRPr="003F1040">
        <w:rPr>
          <w:rStyle w:val="Strong"/>
          <w:rFonts w:asciiTheme="minorHAnsi" w:hAnsiTheme="minorHAnsi"/>
          <w:b w:val="0"/>
          <w:i/>
          <w:sz w:val="22"/>
        </w:rPr>
        <w:t xml:space="preserve">xperience with </w:t>
      </w:r>
      <w:r w:rsidR="00F666DD" w:rsidRPr="003F1040">
        <w:rPr>
          <w:rStyle w:val="Strong"/>
          <w:rFonts w:asciiTheme="minorHAnsi" w:hAnsiTheme="minorHAnsi"/>
          <w:b w:val="0"/>
          <w:i/>
          <w:sz w:val="22"/>
        </w:rPr>
        <w:t>the Department of Local Authorities (</w:t>
      </w:r>
      <w:r w:rsidR="00306BA2" w:rsidRPr="003F1040">
        <w:rPr>
          <w:rStyle w:val="Strong"/>
          <w:rFonts w:asciiTheme="minorHAnsi" w:hAnsiTheme="minorHAnsi"/>
          <w:b w:val="0"/>
          <w:i/>
          <w:sz w:val="22"/>
        </w:rPr>
        <w:t>DLA</w:t>
      </w:r>
      <w:r w:rsidR="00F666DD" w:rsidRPr="003F1040">
        <w:rPr>
          <w:rStyle w:val="Strong"/>
          <w:rFonts w:asciiTheme="minorHAnsi" w:hAnsiTheme="minorHAnsi"/>
          <w:b w:val="0"/>
          <w:i/>
          <w:sz w:val="22"/>
        </w:rPr>
        <w:t>)</w:t>
      </w:r>
      <w:r w:rsidR="00306BA2" w:rsidRPr="003F1040">
        <w:rPr>
          <w:rStyle w:val="Strong"/>
          <w:rFonts w:asciiTheme="minorHAnsi" w:hAnsiTheme="minorHAnsi"/>
          <w:b w:val="0"/>
          <w:i/>
          <w:sz w:val="22"/>
        </w:rPr>
        <w:t xml:space="preserve"> in Vanuatu so far shows that quality of risk integration is better and sustainable when ‘weaved’ into a new or existing development planning system </w:t>
      </w:r>
      <w:r w:rsidR="00005C5C">
        <w:rPr>
          <w:rStyle w:val="Strong"/>
          <w:rFonts w:asciiTheme="minorHAnsi" w:hAnsiTheme="minorHAnsi"/>
          <w:b w:val="0"/>
          <w:i/>
          <w:sz w:val="22"/>
        </w:rPr>
        <w:t>and</w:t>
      </w:r>
      <w:r w:rsidR="00306BA2" w:rsidRPr="003F1040">
        <w:rPr>
          <w:rStyle w:val="Strong"/>
          <w:rFonts w:asciiTheme="minorHAnsi" w:hAnsiTheme="minorHAnsi"/>
          <w:b w:val="0"/>
          <w:i/>
          <w:sz w:val="22"/>
        </w:rPr>
        <w:t xml:space="preserve"> it becomes part of the foundations of development planning as opposed to an add-on” </w:t>
      </w:r>
      <w:r w:rsidR="00306BA2" w:rsidRPr="003F1040">
        <w:rPr>
          <w:rStyle w:val="Strong"/>
          <w:rFonts w:asciiTheme="minorHAnsi" w:hAnsiTheme="minorHAnsi"/>
          <w:b w:val="0"/>
          <w:sz w:val="22"/>
        </w:rPr>
        <w:t xml:space="preserve">(Ben Tabi, </w:t>
      </w:r>
      <w:r w:rsidR="00F666DD" w:rsidRPr="003F1040">
        <w:rPr>
          <w:rStyle w:val="Strong"/>
          <w:rFonts w:asciiTheme="minorHAnsi" w:hAnsiTheme="minorHAnsi"/>
          <w:b w:val="0"/>
          <w:sz w:val="22"/>
        </w:rPr>
        <w:t>DLA</w:t>
      </w:r>
      <w:r w:rsidR="00306BA2" w:rsidRPr="003F1040">
        <w:rPr>
          <w:rStyle w:val="Strong"/>
          <w:rFonts w:asciiTheme="minorHAnsi" w:hAnsiTheme="minorHAnsi"/>
          <w:b w:val="0"/>
          <w:sz w:val="22"/>
        </w:rPr>
        <w:t>, Vanuatu).</w:t>
      </w:r>
      <w:r w:rsidR="00BC0EBE" w:rsidRPr="003F1040">
        <w:rPr>
          <w:rFonts w:asciiTheme="minorHAnsi" w:hAnsiTheme="minorHAnsi"/>
          <w:sz w:val="22"/>
          <w:lang w:val="en"/>
        </w:rPr>
        <w:t xml:space="preserve"> </w:t>
      </w:r>
    </w:p>
    <w:p w14:paraId="649F382B" w14:textId="46F61BB0" w:rsidR="00306BA2" w:rsidRPr="00306BA2" w:rsidRDefault="00306BA2" w:rsidP="00BC0EBE">
      <w:pPr>
        <w:pStyle w:val="ListParagraph"/>
        <w:ind w:left="360"/>
        <w:jc w:val="both"/>
        <w:rPr>
          <w:rStyle w:val="Strong"/>
          <w:b w:val="0"/>
          <w:sz w:val="20"/>
          <w:szCs w:val="20"/>
        </w:rPr>
      </w:pPr>
    </w:p>
    <w:p w14:paraId="2C1AB81C" w14:textId="3360EAC9" w:rsidR="00A76FF0" w:rsidRPr="00306BA2" w:rsidRDefault="00306BA2" w:rsidP="00306BA2">
      <w:pPr>
        <w:pStyle w:val="ListParagraph"/>
        <w:ind w:left="360"/>
        <w:jc w:val="both"/>
        <w:rPr>
          <w:rFonts w:asciiTheme="minorHAnsi" w:hAnsiTheme="minorHAnsi"/>
          <w:b/>
          <w:sz w:val="22"/>
        </w:rPr>
      </w:pPr>
      <w:r w:rsidRPr="003D6580">
        <w:rPr>
          <w:i/>
          <w:noProof/>
          <w:lang w:val="en-US"/>
        </w:rPr>
        <w:drawing>
          <wp:anchor distT="0" distB="0" distL="114300" distR="114300" simplePos="0" relativeHeight="251717632" behindDoc="1" locked="0" layoutInCell="1" allowOverlap="1" wp14:anchorId="065F2352" wp14:editId="2543C5D8">
            <wp:simplePos x="0" y="0"/>
            <wp:positionH relativeFrom="margin">
              <wp:posOffset>276225</wp:posOffset>
            </wp:positionH>
            <wp:positionV relativeFrom="paragraph">
              <wp:posOffset>1905</wp:posOffset>
            </wp:positionV>
            <wp:extent cx="333375" cy="333375"/>
            <wp:effectExtent l="0" t="0" r="9525" b="9525"/>
            <wp:wrapTight wrapText="bothSides">
              <wp:wrapPolygon edited="0">
                <wp:start x="0" y="0"/>
                <wp:lineTo x="0" y="20983"/>
                <wp:lineTo x="20983" y="20983"/>
                <wp:lineTo x="2098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p>
    <w:p w14:paraId="7847EF6B" w14:textId="3E3BCE7C" w:rsidR="00306BA2" w:rsidRPr="00E82BFD" w:rsidRDefault="00306BA2" w:rsidP="000A221E">
      <w:pPr>
        <w:pStyle w:val="ListParagraph"/>
        <w:ind w:left="1134"/>
        <w:jc w:val="both"/>
        <w:rPr>
          <w:rFonts w:asciiTheme="minorHAnsi" w:hAnsiTheme="minorHAnsi"/>
          <w:i/>
          <w:color w:val="ED7D31" w:themeColor="accent2"/>
          <w:sz w:val="22"/>
        </w:rPr>
      </w:pPr>
      <w:r w:rsidRPr="00E82BFD">
        <w:rPr>
          <w:rFonts w:asciiTheme="minorHAnsi" w:hAnsiTheme="minorHAnsi"/>
          <w:i/>
          <w:color w:val="ED7D31" w:themeColor="accent2"/>
          <w:sz w:val="22"/>
        </w:rPr>
        <w:t>This tool promotes</w:t>
      </w:r>
      <w:r w:rsidR="00F666DD" w:rsidRPr="00E82BFD">
        <w:rPr>
          <w:rFonts w:asciiTheme="minorHAnsi" w:hAnsiTheme="minorHAnsi"/>
          <w:i/>
          <w:color w:val="ED7D31" w:themeColor="accent2"/>
          <w:sz w:val="22"/>
        </w:rPr>
        <w:t xml:space="preserve"> mainstreaming from within existing development structures, systems</w:t>
      </w:r>
      <w:r w:rsidR="005B3F1E">
        <w:rPr>
          <w:rFonts w:asciiTheme="minorHAnsi" w:hAnsiTheme="minorHAnsi"/>
          <w:i/>
          <w:color w:val="ED7D31" w:themeColor="accent2"/>
          <w:sz w:val="22"/>
        </w:rPr>
        <w:t>, procedures</w:t>
      </w:r>
      <w:r w:rsidR="00F666DD" w:rsidRPr="00E82BFD">
        <w:rPr>
          <w:rFonts w:asciiTheme="minorHAnsi" w:hAnsiTheme="minorHAnsi"/>
          <w:i/>
          <w:color w:val="ED7D31" w:themeColor="accent2"/>
          <w:sz w:val="22"/>
        </w:rPr>
        <w:t xml:space="preserve"> and processes to avoid parallel activities for risk</w:t>
      </w:r>
      <w:r w:rsidR="00E256F8">
        <w:rPr>
          <w:rFonts w:asciiTheme="minorHAnsi" w:hAnsiTheme="minorHAnsi"/>
          <w:i/>
          <w:color w:val="ED7D31" w:themeColor="accent2"/>
          <w:sz w:val="22"/>
        </w:rPr>
        <w:t xml:space="preserve"> and risk as an “add-on.”</w:t>
      </w:r>
    </w:p>
    <w:p w14:paraId="682669CB" w14:textId="2412AAB9" w:rsidR="00530BF5" w:rsidRPr="00530BF5" w:rsidRDefault="00530BF5" w:rsidP="00530BF5">
      <w:pPr>
        <w:pStyle w:val="ListParagraph"/>
        <w:rPr>
          <w:rFonts w:asciiTheme="minorHAnsi" w:hAnsiTheme="minorHAnsi"/>
          <w:b/>
          <w:sz w:val="22"/>
        </w:rPr>
      </w:pPr>
    </w:p>
    <w:p w14:paraId="26D66884" w14:textId="24BD8E17" w:rsidR="00530BF5" w:rsidRPr="00074BB5" w:rsidRDefault="00530BF5" w:rsidP="00C86E69">
      <w:pPr>
        <w:pStyle w:val="ListParagraph"/>
        <w:numPr>
          <w:ilvl w:val="0"/>
          <w:numId w:val="3"/>
        </w:numPr>
        <w:jc w:val="both"/>
        <w:rPr>
          <w:rFonts w:asciiTheme="minorHAnsi" w:hAnsiTheme="minorHAnsi"/>
          <w:b/>
          <w:sz w:val="22"/>
        </w:rPr>
      </w:pPr>
      <w:r>
        <w:rPr>
          <w:rFonts w:asciiTheme="minorHAnsi" w:hAnsiTheme="minorHAnsi"/>
          <w:b/>
          <w:sz w:val="22"/>
        </w:rPr>
        <w:t>Mainstreaming support</w:t>
      </w:r>
      <w:r w:rsidR="000C68FF">
        <w:rPr>
          <w:rFonts w:asciiTheme="minorHAnsi" w:hAnsiTheme="minorHAnsi"/>
          <w:b/>
          <w:sz w:val="22"/>
        </w:rPr>
        <w:t>s</w:t>
      </w:r>
      <w:r>
        <w:rPr>
          <w:rFonts w:asciiTheme="minorHAnsi" w:hAnsiTheme="minorHAnsi"/>
          <w:b/>
          <w:sz w:val="22"/>
        </w:rPr>
        <w:t xml:space="preserve"> transformation</w:t>
      </w:r>
      <w:r w:rsidR="00275F9E">
        <w:rPr>
          <w:rFonts w:asciiTheme="minorHAnsi" w:hAnsiTheme="minorHAnsi"/>
          <w:b/>
          <w:sz w:val="22"/>
        </w:rPr>
        <w:t>al</w:t>
      </w:r>
      <w:r>
        <w:rPr>
          <w:rFonts w:asciiTheme="minorHAnsi" w:hAnsiTheme="minorHAnsi"/>
          <w:b/>
          <w:sz w:val="22"/>
        </w:rPr>
        <w:t xml:space="preserve"> change</w:t>
      </w:r>
      <w:r w:rsidR="00275F9E">
        <w:rPr>
          <w:rFonts w:asciiTheme="minorHAnsi" w:hAnsiTheme="minorHAnsi"/>
          <w:b/>
          <w:sz w:val="22"/>
        </w:rPr>
        <w:t xml:space="preserve">.  </w:t>
      </w:r>
      <w:r w:rsidR="00275F9E">
        <w:rPr>
          <w:rFonts w:asciiTheme="minorHAnsi" w:hAnsiTheme="minorHAnsi"/>
          <w:sz w:val="22"/>
        </w:rPr>
        <w:t xml:space="preserve">Mainstreaming should </w:t>
      </w:r>
      <w:r>
        <w:rPr>
          <w:rFonts w:asciiTheme="minorHAnsi" w:hAnsiTheme="minorHAnsi"/>
          <w:sz w:val="22"/>
        </w:rPr>
        <w:t>encourage long term shifts in thinking and behaviour</w:t>
      </w:r>
      <w:r w:rsidR="00275F9E">
        <w:rPr>
          <w:rFonts w:asciiTheme="minorHAnsi" w:hAnsiTheme="minorHAnsi"/>
          <w:sz w:val="22"/>
        </w:rPr>
        <w:t xml:space="preserve"> and promote</w:t>
      </w:r>
      <w:r>
        <w:rPr>
          <w:rFonts w:asciiTheme="minorHAnsi" w:hAnsiTheme="minorHAnsi"/>
          <w:sz w:val="22"/>
        </w:rPr>
        <w:t xml:space="preserve"> risk informed development </w:t>
      </w:r>
      <w:r w:rsidR="00275F9E">
        <w:rPr>
          <w:rFonts w:asciiTheme="minorHAnsi" w:hAnsiTheme="minorHAnsi"/>
          <w:sz w:val="22"/>
        </w:rPr>
        <w:t xml:space="preserve">as </w:t>
      </w:r>
      <w:r>
        <w:rPr>
          <w:rFonts w:asciiTheme="minorHAnsi" w:hAnsiTheme="minorHAnsi"/>
          <w:sz w:val="22"/>
        </w:rPr>
        <w:t>the new “norm.”</w:t>
      </w:r>
      <w:r w:rsidR="000A221E">
        <w:rPr>
          <w:rFonts w:asciiTheme="minorHAnsi" w:hAnsiTheme="minorHAnsi"/>
          <w:sz w:val="22"/>
        </w:rPr>
        <w:t xml:space="preserve"> </w:t>
      </w:r>
      <w:r w:rsidR="00074BB5">
        <w:rPr>
          <w:rFonts w:asciiTheme="minorHAnsi" w:hAnsiTheme="minorHAnsi"/>
          <w:sz w:val="22"/>
        </w:rPr>
        <w:t>T</w:t>
      </w:r>
      <w:r w:rsidR="000A221E">
        <w:rPr>
          <w:rFonts w:asciiTheme="minorHAnsi" w:hAnsiTheme="minorHAnsi"/>
          <w:sz w:val="22"/>
        </w:rPr>
        <w:t xml:space="preserve">ransformative approaches to mainstreaming are needed that </w:t>
      </w:r>
      <w:r w:rsidR="00A44CB2">
        <w:rPr>
          <w:rFonts w:asciiTheme="minorHAnsi" w:hAnsiTheme="minorHAnsi"/>
          <w:sz w:val="22"/>
        </w:rPr>
        <w:t xml:space="preserve">address underlying risk </w:t>
      </w:r>
      <w:r w:rsidR="000A221E">
        <w:rPr>
          <w:rFonts w:asciiTheme="minorHAnsi" w:hAnsiTheme="minorHAnsi"/>
          <w:sz w:val="22"/>
        </w:rPr>
        <w:t>and truly embed or institutionalise risk into development policy and practice (UNDP</w:t>
      </w:r>
      <w:r w:rsidR="00A44CB2">
        <w:rPr>
          <w:rFonts w:asciiTheme="minorHAnsi" w:hAnsiTheme="minorHAnsi"/>
          <w:sz w:val="22"/>
        </w:rPr>
        <w:t>,</w:t>
      </w:r>
      <w:r w:rsidR="00074BB5">
        <w:rPr>
          <w:rFonts w:asciiTheme="minorHAnsi" w:hAnsiTheme="minorHAnsi"/>
          <w:sz w:val="22"/>
        </w:rPr>
        <w:t xml:space="preserve"> 2016, </w:t>
      </w:r>
      <w:r w:rsidR="003F1040">
        <w:rPr>
          <w:rFonts w:asciiTheme="minorHAnsi" w:hAnsiTheme="minorHAnsi"/>
          <w:sz w:val="22"/>
        </w:rPr>
        <w:t>UNICEF, 2016).</w:t>
      </w:r>
      <w:r w:rsidR="00A44CB2">
        <w:rPr>
          <w:rFonts w:asciiTheme="minorHAnsi" w:hAnsiTheme="minorHAnsi"/>
          <w:sz w:val="22"/>
        </w:rPr>
        <w:t xml:space="preserve">  Experience from Bangladesh, shows that a change in mindset is important, and this resonates </w:t>
      </w:r>
      <w:r w:rsidR="00D7245A">
        <w:rPr>
          <w:rFonts w:asciiTheme="minorHAnsi" w:hAnsiTheme="minorHAnsi"/>
          <w:sz w:val="22"/>
        </w:rPr>
        <w:t xml:space="preserve">with </w:t>
      </w:r>
      <w:r w:rsidR="00A44CB2">
        <w:rPr>
          <w:rFonts w:asciiTheme="minorHAnsi" w:hAnsiTheme="minorHAnsi"/>
          <w:sz w:val="22"/>
        </w:rPr>
        <w:t xml:space="preserve">experiences </w:t>
      </w:r>
      <w:r w:rsidR="00D7245A">
        <w:rPr>
          <w:rFonts w:asciiTheme="minorHAnsi" w:hAnsiTheme="minorHAnsi"/>
          <w:sz w:val="22"/>
        </w:rPr>
        <w:t xml:space="preserve">in Mozambique, where it is highlighted that </w:t>
      </w:r>
      <w:r w:rsidR="00A44CB2">
        <w:rPr>
          <w:rFonts w:asciiTheme="minorHAnsi" w:hAnsiTheme="minorHAnsi"/>
          <w:sz w:val="22"/>
        </w:rPr>
        <w:t xml:space="preserve">changing mind-sets </w:t>
      </w:r>
      <w:r w:rsidR="00D7245A">
        <w:rPr>
          <w:rFonts w:asciiTheme="minorHAnsi" w:hAnsiTheme="minorHAnsi"/>
          <w:sz w:val="22"/>
        </w:rPr>
        <w:t xml:space="preserve">(rather than just increasing risk knowledge) </w:t>
      </w:r>
      <w:r w:rsidR="00D7245A" w:rsidRPr="00074BB5">
        <w:rPr>
          <w:rFonts w:asciiTheme="minorHAnsi" w:hAnsiTheme="minorHAnsi"/>
          <w:sz w:val="22"/>
        </w:rPr>
        <w:t xml:space="preserve">is </w:t>
      </w:r>
      <w:r w:rsidR="00A44CB2" w:rsidRPr="00074BB5">
        <w:rPr>
          <w:rFonts w:asciiTheme="minorHAnsi" w:hAnsiTheme="minorHAnsi"/>
          <w:sz w:val="22"/>
        </w:rPr>
        <w:t>a key su</w:t>
      </w:r>
      <w:r w:rsidR="00074BB5" w:rsidRPr="00074BB5">
        <w:rPr>
          <w:rFonts w:asciiTheme="minorHAnsi" w:hAnsiTheme="minorHAnsi"/>
          <w:sz w:val="22"/>
        </w:rPr>
        <w:t>ccess factor for mainstreaming</w:t>
      </w:r>
      <w:r w:rsidR="00A44CB2" w:rsidRPr="00074BB5">
        <w:rPr>
          <w:rFonts w:asciiTheme="minorHAnsi" w:hAnsiTheme="minorHAnsi"/>
          <w:sz w:val="22"/>
        </w:rPr>
        <w:t>.</w:t>
      </w:r>
      <w:r w:rsidR="00074BB5">
        <w:rPr>
          <w:rStyle w:val="FootnoteReference"/>
          <w:rFonts w:asciiTheme="minorHAnsi" w:hAnsiTheme="minorHAnsi"/>
          <w:sz w:val="22"/>
        </w:rPr>
        <w:footnoteReference w:id="7"/>
      </w:r>
    </w:p>
    <w:p w14:paraId="212B6D5E" w14:textId="2E49E3B7" w:rsidR="000A221E" w:rsidRPr="00A76FF0" w:rsidRDefault="000A221E" w:rsidP="000A221E">
      <w:pPr>
        <w:pStyle w:val="ListParagraph"/>
        <w:ind w:left="360"/>
        <w:jc w:val="both"/>
        <w:rPr>
          <w:rFonts w:asciiTheme="minorHAnsi" w:hAnsiTheme="minorHAnsi"/>
          <w:b/>
          <w:sz w:val="22"/>
        </w:rPr>
      </w:pPr>
      <w:r w:rsidRPr="000A221E">
        <w:rPr>
          <w:i/>
          <w:noProof/>
          <w:color w:val="ED7D31" w:themeColor="accent2"/>
          <w:lang w:val="en-US"/>
        </w:rPr>
        <w:drawing>
          <wp:anchor distT="0" distB="0" distL="114300" distR="114300" simplePos="0" relativeHeight="251719680" behindDoc="1" locked="0" layoutInCell="1" allowOverlap="1" wp14:anchorId="7FAD44FF" wp14:editId="3409B06F">
            <wp:simplePos x="0" y="0"/>
            <wp:positionH relativeFrom="margin">
              <wp:posOffset>249331</wp:posOffset>
            </wp:positionH>
            <wp:positionV relativeFrom="paragraph">
              <wp:posOffset>172683</wp:posOffset>
            </wp:positionV>
            <wp:extent cx="333375" cy="333375"/>
            <wp:effectExtent l="0" t="0" r="9525" b="9525"/>
            <wp:wrapTight wrapText="bothSides">
              <wp:wrapPolygon edited="0">
                <wp:start x="0" y="0"/>
                <wp:lineTo x="0" y="20983"/>
                <wp:lineTo x="20983" y="20983"/>
                <wp:lineTo x="209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p>
    <w:p w14:paraId="593920D4" w14:textId="67BBE4EA" w:rsidR="004B70AD" w:rsidRPr="000A221E" w:rsidRDefault="004B70AD" w:rsidP="004B70AD">
      <w:pPr>
        <w:pStyle w:val="ListParagraph"/>
        <w:ind w:left="360"/>
        <w:jc w:val="both"/>
        <w:rPr>
          <w:b/>
          <w:i/>
          <w:color w:val="ED7D31" w:themeColor="accent2"/>
        </w:rPr>
      </w:pPr>
      <w:r w:rsidRPr="000A221E">
        <w:rPr>
          <w:rFonts w:ascii="Calibri" w:hAnsi="Calibri"/>
          <w:i/>
          <w:color w:val="ED7D31" w:themeColor="accent2"/>
          <w:sz w:val="22"/>
        </w:rPr>
        <w:t xml:space="preserve">This tool </w:t>
      </w:r>
      <w:r w:rsidR="000A221E">
        <w:rPr>
          <w:rFonts w:ascii="Calibri" w:hAnsi="Calibri"/>
          <w:i/>
          <w:color w:val="ED7D31" w:themeColor="accent2"/>
          <w:sz w:val="22"/>
        </w:rPr>
        <w:t xml:space="preserve">looks to embed risk into the very definition of development and promote significant change in ways of thinking, behaviour and organisational culture. </w:t>
      </w:r>
    </w:p>
    <w:p w14:paraId="70DB6FB0" w14:textId="77777777" w:rsidR="00A76FF0" w:rsidRPr="00A76FF0" w:rsidRDefault="00A76FF0" w:rsidP="00A76FF0">
      <w:pPr>
        <w:pStyle w:val="ListParagraph"/>
        <w:rPr>
          <w:rFonts w:asciiTheme="minorHAnsi" w:hAnsiTheme="minorHAnsi"/>
          <w:b/>
          <w:sz w:val="22"/>
        </w:rPr>
      </w:pPr>
    </w:p>
    <w:p w14:paraId="3B3D743E" w14:textId="5F017C4A" w:rsidR="00B436F2" w:rsidRPr="00B436F2" w:rsidRDefault="00E842A7" w:rsidP="00B436F2">
      <w:pPr>
        <w:pStyle w:val="ListParagraph"/>
        <w:numPr>
          <w:ilvl w:val="0"/>
          <w:numId w:val="3"/>
        </w:numPr>
        <w:jc w:val="both"/>
        <w:rPr>
          <w:rFonts w:asciiTheme="minorHAnsi" w:hAnsiTheme="minorHAnsi"/>
          <w:b/>
          <w:sz w:val="22"/>
        </w:rPr>
      </w:pPr>
      <w:r>
        <w:rPr>
          <w:rFonts w:asciiTheme="minorHAnsi" w:hAnsiTheme="minorHAnsi"/>
          <w:b/>
          <w:sz w:val="22"/>
        </w:rPr>
        <w:t xml:space="preserve">Mainstreaming </w:t>
      </w:r>
      <w:r w:rsidR="003F1040">
        <w:rPr>
          <w:rFonts w:asciiTheme="minorHAnsi" w:hAnsiTheme="minorHAnsi"/>
          <w:b/>
          <w:sz w:val="22"/>
        </w:rPr>
        <w:t>strengthens</w:t>
      </w:r>
      <w:r>
        <w:rPr>
          <w:rFonts w:asciiTheme="minorHAnsi" w:hAnsiTheme="minorHAnsi"/>
          <w:b/>
          <w:sz w:val="22"/>
        </w:rPr>
        <w:t xml:space="preserve"> </w:t>
      </w:r>
      <w:r w:rsidR="00BC0EBE">
        <w:rPr>
          <w:rFonts w:asciiTheme="minorHAnsi" w:hAnsiTheme="minorHAnsi"/>
          <w:b/>
          <w:sz w:val="22"/>
        </w:rPr>
        <w:t xml:space="preserve">interlinked </w:t>
      </w:r>
      <w:r w:rsidR="00530BF5">
        <w:rPr>
          <w:rFonts w:asciiTheme="minorHAnsi" w:hAnsiTheme="minorHAnsi"/>
          <w:b/>
          <w:sz w:val="22"/>
        </w:rPr>
        <w:t xml:space="preserve">components </w:t>
      </w:r>
      <w:r w:rsidR="003F1040">
        <w:rPr>
          <w:rFonts w:asciiTheme="minorHAnsi" w:hAnsiTheme="minorHAnsi"/>
          <w:b/>
          <w:sz w:val="22"/>
        </w:rPr>
        <w:t>of governance</w:t>
      </w:r>
      <w:r w:rsidR="00530BF5">
        <w:rPr>
          <w:rFonts w:asciiTheme="minorHAnsi" w:hAnsiTheme="minorHAnsi"/>
          <w:b/>
          <w:sz w:val="22"/>
        </w:rPr>
        <w:t xml:space="preserve">.  </w:t>
      </w:r>
      <w:r w:rsidR="00275F9E">
        <w:rPr>
          <w:rFonts w:asciiTheme="minorHAnsi" w:hAnsiTheme="minorHAnsi"/>
          <w:sz w:val="22"/>
        </w:rPr>
        <w:t>M</w:t>
      </w:r>
      <w:r w:rsidR="00FE5C46">
        <w:rPr>
          <w:rFonts w:asciiTheme="minorHAnsi" w:hAnsiTheme="minorHAnsi"/>
          <w:sz w:val="22"/>
        </w:rPr>
        <w:t>ainstream</w:t>
      </w:r>
      <w:r w:rsidR="00275F9E">
        <w:rPr>
          <w:rFonts w:asciiTheme="minorHAnsi" w:hAnsiTheme="minorHAnsi"/>
          <w:sz w:val="22"/>
        </w:rPr>
        <w:t xml:space="preserve">ing should address </w:t>
      </w:r>
      <w:r w:rsidR="00FE5C46">
        <w:rPr>
          <w:rFonts w:asciiTheme="minorHAnsi" w:hAnsiTheme="minorHAnsi"/>
          <w:sz w:val="22"/>
        </w:rPr>
        <w:t>core governance challenges</w:t>
      </w:r>
      <w:r w:rsidR="00275F9E">
        <w:rPr>
          <w:rFonts w:asciiTheme="minorHAnsi" w:hAnsiTheme="minorHAnsi"/>
          <w:sz w:val="22"/>
        </w:rPr>
        <w:t xml:space="preserve"> by strengthening risk </w:t>
      </w:r>
      <w:r w:rsidR="00FE5C46">
        <w:rPr>
          <w:rFonts w:asciiTheme="minorHAnsi" w:hAnsiTheme="minorHAnsi"/>
          <w:sz w:val="22"/>
        </w:rPr>
        <w:t xml:space="preserve">governance from within the mainstream of </w:t>
      </w:r>
      <w:r w:rsidR="003F1040">
        <w:rPr>
          <w:rFonts w:asciiTheme="minorHAnsi" w:hAnsiTheme="minorHAnsi"/>
          <w:sz w:val="22"/>
        </w:rPr>
        <w:t>the development agenda</w:t>
      </w:r>
      <w:r w:rsidR="00A72EFD">
        <w:rPr>
          <w:rFonts w:asciiTheme="minorHAnsi" w:hAnsiTheme="minorHAnsi"/>
          <w:sz w:val="22"/>
        </w:rPr>
        <w:t xml:space="preserve"> (UNDP, </w:t>
      </w:r>
      <w:r w:rsidR="00E256F8">
        <w:rPr>
          <w:rFonts w:asciiTheme="minorHAnsi" w:hAnsiTheme="minorHAnsi"/>
          <w:sz w:val="22"/>
        </w:rPr>
        <w:t>201</w:t>
      </w:r>
      <w:r w:rsidR="00A72EFD">
        <w:rPr>
          <w:rFonts w:asciiTheme="minorHAnsi" w:hAnsiTheme="minorHAnsi"/>
          <w:sz w:val="22"/>
        </w:rPr>
        <w:t>6</w:t>
      </w:r>
      <w:r w:rsidR="00E256F8">
        <w:rPr>
          <w:rFonts w:asciiTheme="minorHAnsi" w:hAnsiTheme="minorHAnsi"/>
          <w:sz w:val="22"/>
        </w:rPr>
        <w:t>)</w:t>
      </w:r>
      <w:r w:rsidR="00FE5C46">
        <w:rPr>
          <w:rFonts w:asciiTheme="minorHAnsi" w:hAnsiTheme="minorHAnsi"/>
          <w:sz w:val="22"/>
        </w:rPr>
        <w:t xml:space="preserve">. </w:t>
      </w:r>
      <w:r w:rsidR="000A221E">
        <w:rPr>
          <w:rFonts w:asciiTheme="minorHAnsi" w:hAnsiTheme="minorHAnsi"/>
          <w:sz w:val="22"/>
        </w:rPr>
        <w:t>Recent research has exposed an increasing number of promising initiatives taking a risk governance approach to mainstreaming risk (even if not labelled as such) and a number of useful experiences are emerging</w:t>
      </w:r>
      <w:r w:rsidR="00D7245A">
        <w:rPr>
          <w:rFonts w:asciiTheme="minorHAnsi" w:hAnsiTheme="minorHAnsi"/>
          <w:sz w:val="22"/>
        </w:rPr>
        <w:t xml:space="preserve">.  </w:t>
      </w:r>
      <w:r w:rsidR="00B436F2">
        <w:rPr>
          <w:rFonts w:asciiTheme="minorHAnsi" w:hAnsiTheme="minorHAnsi"/>
          <w:sz w:val="22"/>
        </w:rPr>
        <w:t>For example</w:t>
      </w:r>
      <w:r w:rsidR="00D7245A">
        <w:rPr>
          <w:rFonts w:asciiTheme="minorHAnsi" w:hAnsiTheme="minorHAnsi"/>
          <w:sz w:val="22"/>
        </w:rPr>
        <w:t xml:space="preserve">, in The Gambia, practitioners have </w:t>
      </w:r>
      <w:r w:rsidR="00B436F2">
        <w:rPr>
          <w:rFonts w:asciiTheme="minorHAnsi" w:hAnsiTheme="minorHAnsi"/>
          <w:sz w:val="22"/>
        </w:rPr>
        <w:t xml:space="preserve">been </w:t>
      </w:r>
      <w:r w:rsidR="00D7245A">
        <w:rPr>
          <w:rFonts w:asciiTheme="minorHAnsi" w:hAnsiTheme="minorHAnsi"/>
          <w:sz w:val="22"/>
        </w:rPr>
        <w:t xml:space="preserve">successful in strengthening multiple </w:t>
      </w:r>
      <w:r w:rsidR="00B436F2">
        <w:rPr>
          <w:rFonts w:asciiTheme="minorHAnsi" w:hAnsiTheme="minorHAnsi"/>
          <w:sz w:val="22"/>
        </w:rPr>
        <w:t xml:space="preserve">interlinked </w:t>
      </w:r>
      <w:r w:rsidR="00D7245A">
        <w:rPr>
          <w:rFonts w:asciiTheme="minorHAnsi" w:hAnsiTheme="minorHAnsi"/>
          <w:sz w:val="22"/>
        </w:rPr>
        <w:t xml:space="preserve">risk governance aspects </w:t>
      </w:r>
      <w:r w:rsidR="00B436F2">
        <w:rPr>
          <w:rFonts w:asciiTheme="minorHAnsi" w:hAnsiTheme="minorHAnsi"/>
          <w:sz w:val="22"/>
        </w:rPr>
        <w:t xml:space="preserve">at the national level </w:t>
      </w:r>
      <w:r w:rsidR="00D7245A">
        <w:rPr>
          <w:rFonts w:asciiTheme="minorHAnsi" w:hAnsiTheme="minorHAnsi"/>
          <w:sz w:val="22"/>
        </w:rPr>
        <w:t xml:space="preserve">including: political commitment, capacity, technical resources and </w:t>
      </w:r>
      <w:r w:rsidR="00B436F2">
        <w:rPr>
          <w:rFonts w:asciiTheme="minorHAnsi" w:hAnsiTheme="minorHAnsi"/>
          <w:sz w:val="22"/>
        </w:rPr>
        <w:t>increased</w:t>
      </w:r>
      <w:r w:rsidR="00D7245A">
        <w:rPr>
          <w:rFonts w:asciiTheme="minorHAnsi" w:hAnsiTheme="minorHAnsi"/>
          <w:sz w:val="22"/>
        </w:rPr>
        <w:t xml:space="preserve"> cooperation and coordination</w:t>
      </w:r>
      <w:r w:rsidR="00B436F2">
        <w:rPr>
          <w:rFonts w:asciiTheme="minorHAnsi" w:hAnsiTheme="minorHAnsi"/>
          <w:sz w:val="22"/>
        </w:rPr>
        <w:t xml:space="preserve"> (Bhusan, The G</w:t>
      </w:r>
      <w:r w:rsidR="00D7245A">
        <w:rPr>
          <w:rFonts w:asciiTheme="minorHAnsi" w:hAnsiTheme="minorHAnsi"/>
          <w:sz w:val="22"/>
        </w:rPr>
        <w:t xml:space="preserve">ambia). </w:t>
      </w:r>
      <w:r w:rsidR="00B436F2">
        <w:rPr>
          <w:rFonts w:asciiTheme="minorHAnsi" w:hAnsiTheme="minorHAnsi"/>
          <w:sz w:val="22"/>
        </w:rPr>
        <w:t>Similarly, in Tonga, practitioners are successfully strengthening a number of core governance components (relating to the actors, mechanisms and processes) of agriculture development including new “in-house” capacity for risk, risk informed plans (Tonga Agriculture Sector Plan) and coordination mechanisms (a community of practice for government agricultural specialists in the Pacific).</w:t>
      </w:r>
    </w:p>
    <w:p w14:paraId="6D94B889" w14:textId="16EA72A9" w:rsidR="003E6011" w:rsidRPr="00530BF5" w:rsidRDefault="00B436F2" w:rsidP="00B436F2">
      <w:pPr>
        <w:pStyle w:val="ListParagraph"/>
        <w:ind w:left="360"/>
        <w:jc w:val="both"/>
        <w:rPr>
          <w:rFonts w:asciiTheme="minorHAnsi" w:hAnsiTheme="minorHAnsi"/>
          <w:b/>
          <w:sz w:val="22"/>
        </w:rPr>
      </w:pPr>
      <w:r w:rsidRPr="00EF57E2">
        <w:rPr>
          <w:i/>
          <w:noProof/>
          <w:color w:val="0070C0"/>
          <w:lang w:eastAsia="en-GB"/>
        </w:rPr>
        <w:t xml:space="preserve"> </w:t>
      </w:r>
      <w:r w:rsidR="003E6011" w:rsidRPr="00EF57E2">
        <w:rPr>
          <w:i/>
          <w:noProof/>
          <w:color w:val="0070C0"/>
          <w:lang w:val="en-US"/>
        </w:rPr>
        <w:drawing>
          <wp:anchor distT="0" distB="0" distL="114300" distR="114300" simplePos="0" relativeHeight="251721728" behindDoc="1" locked="0" layoutInCell="1" allowOverlap="1" wp14:anchorId="0C400199" wp14:editId="72C2584E">
            <wp:simplePos x="0" y="0"/>
            <wp:positionH relativeFrom="margin">
              <wp:posOffset>233045</wp:posOffset>
            </wp:positionH>
            <wp:positionV relativeFrom="paragraph">
              <wp:posOffset>196215</wp:posOffset>
            </wp:positionV>
            <wp:extent cx="333375" cy="333375"/>
            <wp:effectExtent l="0" t="0" r="9525" b="9525"/>
            <wp:wrapTight wrapText="bothSides">
              <wp:wrapPolygon edited="0">
                <wp:start x="0" y="0"/>
                <wp:lineTo x="0" y="20983"/>
                <wp:lineTo x="20983" y="20983"/>
                <wp:lineTo x="209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p>
    <w:p w14:paraId="383CB6DD" w14:textId="6955D777" w:rsidR="004B70AD" w:rsidRPr="003E6011" w:rsidRDefault="004B70AD" w:rsidP="004B70AD">
      <w:pPr>
        <w:pStyle w:val="ListParagraph"/>
        <w:ind w:left="360"/>
        <w:jc w:val="both"/>
        <w:rPr>
          <w:b/>
          <w:i/>
          <w:color w:val="ED7D31" w:themeColor="accent2"/>
        </w:rPr>
      </w:pPr>
      <w:r w:rsidRPr="003E6011">
        <w:rPr>
          <w:rFonts w:ascii="Calibri" w:hAnsi="Calibri"/>
          <w:i/>
          <w:color w:val="ED7D31" w:themeColor="accent2"/>
          <w:sz w:val="22"/>
        </w:rPr>
        <w:t xml:space="preserve">This tool </w:t>
      </w:r>
      <w:r w:rsidR="003F1040">
        <w:rPr>
          <w:rFonts w:ascii="Calibri" w:hAnsi="Calibri"/>
          <w:i/>
          <w:color w:val="ED7D31" w:themeColor="accent2"/>
          <w:sz w:val="22"/>
        </w:rPr>
        <w:t xml:space="preserve">supports strengthening interlinked components of governance </w:t>
      </w:r>
      <w:r w:rsidR="003E6011">
        <w:rPr>
          <w:rFonts w:ascii="Calibri" w:hAnsi="Calibri"/>
          <w:i/>
          <w:color w:val="ED7D31" w:themeColor="accent2"/>
          <w:sz w:val="22"/>
        </w:rPr>
        <w:t>to ensure more long term and sustained change in how risk is dealt with.</w:t>
      </w:r>
    </w:p>
    <w:p w14:paraId="2BD53535" w14:textId="77777777" w:rsidR="00530BF5" w:rsidRPr="00530BF5" w:rsidRDefault="00530BF5" w:rsidP="00530BF5">
      <w:pPr>
        <w:pStyle w:val="ListParagraph"/>
        <w:rPr>
          <w:rFonts w:asciiTheme="minorHAnsi" w:hAnsiTheme="minorHAnsi"/>
          <w:b/>
          <w:sz w:val="22"/>
        </w:rPr>
      </w:pPr>
    </w:p>
    <w:p w14:paraId="46111D2E" w14:textId="604F9C45" w:rsidR="00EF57E2" w:rsidRPr="006B53DD" w:rsidRDefault="00530BF5" w:rsidP="00C86E69">
      <w:pPr>
        <w:pStyle w:val="ListParagraph"/>
        <w:numPr>
          <w:ilvl w:val="0"/>
          <w:numId w:val="3"/>
        </w:numPr>
        <w:jc w:val="both"/>
        <w:rPr>
          <w:rFonts w:ascii="Calibri" w:hAnsi="Calibri"/>
          <w:sz w:val="22"/>
          <w:lang w:val="en"/>
        </w:rPr>
      </w:pPr>
      <w:r w:rsidRPr="006B53DD">
        <w:rPr>
          <w:rFonts w:asciiTheme="minorHAnsi" w:hAnsiTheme="minorHAnsi"/>
          <w:b/>
          <w:sz w:val="22"/>
        </w:rPr>
        <w:t xml:space="preserve">Mainstreaming </w:t>
      </w:r>
      <w:r w:rsidR="000C68FF" w:rsidRPr="006B53DD">
        <w:rPr>
          <w:rFonts w:asciiTheme="minorHAnsi" w:hAnsiTheme="minorHAnsi"/>
          <w:b/>
          <w:sz w:val="22"/>
        </w:rPr>
        <w:t>adheres</w:t>
      </w:r>
      <w:r w:rsidRPr="006B53DD">
        <w:rPr>
          <w:rFonts w:asciiTheme="minorHAnsi" w:hAnsiTheme="minorHAnsi"/>
          <w:b/>
          <w:sz w:val="22"/>
        </w:rPr>
        <w:t xml:space="preserve"> to </w:t>
      </w:r>
      <w:r w:rsidR="000C68FF" w:rsidRPr="006B53DD">
        <w:rPr>
          <w:rFonts w:asciiTheme="minorHAnsi" w:hAnsiTheme="minorHAnsi"/>
          <w:b/>
          <w:sz w:val="22"/>
        </w:rPr>
        <w:t>widely accepted</w:t>
      </w:r>
      <w:r w:rsidRPr="006B53DD">
        <w:rPr>
          <w:rFonts w:asciiTheme="minorHAnsi" w:hAnsiTheme="minorHAnsi"/>
          <w:b/>
          <w:sz w:val="22"/>
        </w:rPr>
        <w:t xml:space="preserve"> risk governance principles </w:t>
      </w:r>
      <w:r w:rsidRPr="006B53DD">
        <w:rPr>
          <w:rFonts w:asciiTheme="minorHAnsi" w:hAnsiTheme="minorHAnsi"/>
          <w:sz w:val="22"/>
        </w:rPr>
        <w:t>such as equity and inclusion, participation, responsiveness, transparency, accountability, effectiveness, and efficiency</w:t>
      </w:r>
      <w:r w:rsidR="003E6011" w:rsidRPr="006B53DD">
        <w:rPr>
          <w:rFonts w:asciiTheme="minorHAnsi" w:hAnsiTheme="minorHAnsi"/>
          <w:sz w:val="22"/>
        </w:rPr>
        <w:t xml:space="preserve"> (UNDP, 2013)</w:t>
      </w:r>
      <w:r w:rsidRPr="006B53DD">
        <w:rPr>
          <w:rFonts w:asciiTheme="minorHAnsi" w:hAnsiTheme="minorHAnsi"/>
          <w:sz w:val="22"/>
        </w:rPr>
        <w:t xml:space="preserve">. </w:t>
      </w:r>
      <w:r w:rsidR="000C68FF" w:rsidRPr="006B53DD">
        <w:rPr>
          <w:rFonts w:asciiTheme="minorHAnsi" w:hAnsiTheme="minorHAnsi"/>
          <w:sz w:val="22"/>
        </w:rPr>
        <w:t xml:space="preserve"> </w:t>
      </w:r>
      <w:r w:rsidR="003E6011" w:rsidRPr="006B53DD">
        <w:rPr>
          <w:rFonts w:asciiTheme="minorHAnsi" w:hAnsiTheme="minorHAnsi"/>
          <w:sz w:val="22"/>
        </w:rPr>
        <w:t>Application of these principles is not only seen as an important means of</w:t>
      </w:r>
      <w:r w:rsidR="00EF57E2" w:rsidRPr="006B53DD">
        <w:rPr>
          <w:rFonts w:ascii="Calibri" w:hAnsi="Calibri"/>
          <w:sz w:val="22"/>
          <w:lang w:val="en"/>
        </w:rPr>
        <w:t xml:space="preserve"> achieving and maintaining development </w:t>
      </w:r>
      <w:r w:rsidR="006B53DD" w:rsidRPr="006B53DD">
        <w:rPr>
          <w:rFonts w:ascii="Calibri" w:hAnsi="Calibri"/>
          <w:sz w:val="22"/>
          <w:lang w:val="en"/>
        </w:rPr>
        <w:t>goals, but should structure how decision making and implementation ought to be carried out (Aysan &amp;Lavell, 2014)</w:t>
      </w:r>
      <w:r w:rsidR="007B4A0A">
        <w:rPr>
          <w:rFonts w:ascii="Calibri" w:hAnsi="Calibri"/>
          <w:sz w:val="22"/>
          <w:lang w:val="en"/>
        </w:rPr>
        <w:t xml:space="preserve">.  </w:t>
      </w:r>
      <w:r w:rsidR="00582D69">
        <w:rPr>
          <w:rFonts w:ascii="Calibri" w:hAnsi="Calibri"/>
          <w:sz w:val="22"/>
          <w:lang w:val="en"/>
        </w:rPr>
        <w:t xml:space="preserve">For example, </w:t>
      </w:r>
      <w:r w:rsidR="00582D69">
        <w:rPr>
          <w:rFonts w:ascii="Calibri" w:hAnsi="Calibri"/>
          <w:i/>
          <w:sz w:val="22"/>
          <w:lang w:val="en"/>
        </w:rPr>
        <w:t>[</w:t>
      </w:r>
      <w:r w:rsidR="00582D69" w:rsidRPr="00582D69">
        <w:rPr>
          <w:rFonts w:ascii="Calibri" w:hAnsi="Calibri"/>
          <w:i/>
          <w:sz w:val="22"/>
          <w:highlight w:val="yellow"/>
          <w:lang w:val="en"/>
        </w:rPr>
        <w:t>any examples?]</w:t>
      </w:r>
    </w:p>
    <w:p w14:paraId="16A83EB2" w14:textId="7AF0900E" w:rsidR="006B53DD" w:rsidRDefault="006B53DD" w:rsidP="006B53DD">
      <w:pPr>
        <w:pStyle w:val="ListParagraph"/>
        <w:ind w:left="360"/>
        <w:jc w:val="both"/>
        <w:rPr>
          <w:rFonts w:ascii="Calibri" w:hAnsi="Calibri"/>
          <w:lang w:val="en"/>
        </w:rPr>
      </w:pPr>
      <w:r w:rsidRPr="006B53DD">
        <w:rPr>
          <w:i/>
          <w:noProof/>
          <w:color w:val="ED7D31" w:themeColor="accent2"/>
          <w:lang w:val="en-US"/>
        </w:rPr>
        <w:drawing>
          <wp:anchor distT="0" distB="0" distL="114300" distR="114300" simplePos="0" relativeHeight="251723776" behindDoc="1" locked="0" layoutInCell="1" allowOverlap="1" wp14:anchorId="0A5D3B6D" wp14:editId="24C29B34">
            <wp:simplePos x="0" y="0"/>
            <wp:positionH relativeFrom="margin">
              <wp:posOffset>242888</wp:posOffset>
            </wp:positionH>
            <wp:positionV relativeFrom="paragraph">
              <wp:posOffset>213995</wp:posOffset>
            </wp:positionV>
            <wp:extent cx="333375" cy="333375"/>
            <wp:effectExtent l="0" t="0" r="9525" b="9525"/>
            <wp:wrapTight wrapText="bothSides">
              <wp:wrapPolygon edited="0">
                <wp:start x="0" y="0"/>
                <wp:lineTo x="0" y="20983"/>
                <wp:lineTo x="20983" y="20983"/>
                <wp:lineTo x="209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p>
    <w:p w14:paraId="0D3A22FF" w14:textId="27EDD7E0" w:rsidR="004B70AD" w:rsidRPr="006B53DD" w:rsidRDefault="004B70AD" w:rsidP="004B70AD">
      <w:pPr>
        <w:pStyle w:val="ListParagraph"/>
        <w:ind w:left="360"/>
        <w:jc w:val="both"/>
        <w:rPr>
          <w:b/>
          <w:i/>
          <w:color w:val="ED7D31" w:themeColor="accent2"/>
        </w:rPr>
      </w:pPr>
      <w:r w:rsidRPr="006B53DD">
        <w:rPr>
          <w:rFonts w:ascii="Calibri" w:hAnsi="Calibri"/>
          <w:i/>
          <w:color w:val="ED7D31" w:themeColor="accent2"/>
          <w:sz w:val="22"/>
        </w:rPr>
        <w:t xml:space="preserve">This tool </w:t>
      </w:r>
      <w:r w:rsidR="006B53DD" w:rsidRPr="006B53DD">
        <w:rPr>
          <w:rFonts w:ascii="Calibri" w:hAnsi="Calibri"/>
          <w:i/>
          <w:color w:val="ED7D31" w:themeColor="accent2"/>
          <w:sz w:val="22"/>
        </w:rPr>
        <w:t xml:space="preserve">promotes use of the core values and principles of governance as a guide to how decision making and implementation </w:t>
      </w:r>
      <w:r w:rsidR="00E256F8">
        <w:rPr>
          <w:rFonts w:ascii="Calibri" w:hAnsi="Calibri"/>
          <w:i/>
          <w:color w:val="ED7D31" w:themeColor="accent2"/>
          <w:sz w:val="22"/>
        </w:rPr>
        <w:t xml:space="preserve">around risk management </w:t>
      </w:r>
      <w:r w:rsidR="006B53DD" w:rsidRPr="006B53DD">
        <w:rPr>
          <w:rFonts w:ascii="Calibri" w:hAnsi="Calibri"/>
          <w:i/>
          <w:color w:val="ED7D31" w:themeColor="accent2"/>
          <w:sz w:val="22"/>
        </w:rPr>
        <w:t xml:space="preserve">should be characterised. </w:t>
      </w:r>
    </w:p>
    <w:p w14:paraId="4347DD82" w14:textId="77777777" w:rsidR="00530BF5" w:rsidRPr="00530BF5" w:rsidRDefault="00530BF5" w:rsidP="00530BF5">
      <w:pPr>
        <w:pStyle w:val="ListParagraph"/>
        <w:rPr>
          <w:rFonts w:asciiTheme="minorHAnsi" w:hAnsiTheme="minorHAnsi"/>
          <w:sz w:val="22"/>
        </w:rPr>
      </w:pPr>
    </w:p>
    <w:p w14:paraId="58E6FB06" w14:textId="121959EC" w:rsidR="00530BF5" w:rsidRPr="006B53DD" w:rsidRDefault="00530BF5" w:rsidP="00C86E69">
      <w:pPr>
        <w:pStyle w:val="ListParagraph"/>
        <w:numPr>
          <w:ilvl w:val="0"/>
          <w:numId w:val="3"/>
        </w:numPr>
        <w:jc w:val="both"/>
        <w:rPr>
          <w:rFonts w:asciiTheme="minorHAnsi" w:hAnsiTheme="minorHAnsi"/>
          <w:b/>
          <w:sz w:val="22"/>
        </w:rPr>
      </w:pPr>
      <w:r w:rsidRPr="00530BF5">
        <w:rPr>
          <w:rFonts w:asciiTheme="minorHAnsi" w:hAnsiTheme="minorHAnsi"/>
          <w:b/>
          <w:sz w:val="22"/>
        </w:rPr>
        <w:t>Mainstreaming should actively consider the gender and social dimensions</w:t>
      </w:r>
      <w:r>
        <w:rPr>
          <w:rFonts w:asciiTheme="minorHAnsi" w:hAnsiTheme="minorHAnsi"/>
          <w:sz w:val="22"/>
        </w:rPr>
        <w:t xml:space="preserve"> </w:t>
      </w:r>
      <w:r w:rsidRPr="00275F9E">
        <w:rPr>
          <w:rFonts w:asciiTheme="minorHAnsi" w:hAnsiTheme="minorHAnsi"/>
          <w:b/>
          <w:sz w:val="22"/>
        </w:rPr>
        <w:t>of risk.</w:t>
      </w:r>
      <w:r>
        <w:rPr>
          <w:rFonts w:asciiTheme="minorHAnsi" w:hAnsiTheme="minorHAnsi"/>
          <w:sz w:val="22"/>
        </w:rPr>
        <w:t xml:space="preserve">  </w:t>
      </w:r>
      <w:r w:rsidR="00275F9E">
        <w:rPr>
          <w:rFonts w:asciiTheme="minorHAnsi" w:hAnsiTheme="minorHAnsi"/>
          <w:sz w:val="22"/>
        </w:rPr>
        <w:t xml:space="preserve">Mainstreaming must be cognisant of the </w:t>
      </w:r>
      <w:r w:rsidR="009B147E">
        <w:rPr>
          <w:rFonts w:asciiTheme="minorHAnsi" w:hAnsiTheme="minorHAnsi"/>
          <w:sz w:val="22"/>
        </w:rPr>
        <w:t xml:space="preserve">different impacts </w:t>
      </w:r>
      <w:r w:rsidR="00275F9E">
        <w:rPr>
          <w:rFonts w:asciiTheme="minorHAnsi" w:hAnsiTheme="minorHAnsi"/>
          <w:sz w:val="22"/>
        </w:rPr>
        <w:t xml:space="preserve">of disaster and climate risk on </w:t>
      </w:r>
      <w:r w:rsidR="009B147E">
        <w:rPr>
          <w:rFonts w:asciiTheme="minorHAnsi" w:hAnsiTheme="minorHAnsi"/>
          <w:sz w:val="22"/>
        </w:rPr>
        <w:t xml:space="preserve">members of society </w:t>
      </w:r>
      <w:r w:rsidR="00275F9E">
        <w:rPr>
          <w:rFonts w:asciiTheme="minorHAnsi" w:hAnsiTheme="minorHAnsi"/>
          <w:sz w:val="22"/>
        </w:rPr>
        <w:t>that</w:t>
      </w:r>
      <w:r w:rsidR="009B147E">
        <w:rPr>
          <w:rFonts w:asciiTheme="minorHAnsi" w:hAnsiTheme="minorHAnsi"/>
          <w:sz w:val="22"/>
        </w:rPr>
        <w:t xml:space="preserve"> can </w:t>
      </w:r>
      <w:r w:rsidR="00580FB6">
        <w:rPr>
          <w:rFonts w:asciiTheme="minorHAnsi" w:hAnsiTheme="minorHAnsi"/>
          <w:sz w:val="22"/>
        </w:rPr>
        <w:t>exacerbate</w:t>
      </w:r>
      <w:r w:rsidR="009B147E">
        <w:rPr>
          <w:rFonts w:asciiTheme="minorHAnsi" w:hAnsiTheme="minorHAnsi"/>
          <w:sz w:val="22"/>
        </w:rPr>
        <w:t xml:space="preserve"> pre-existing inequalities, social issues but also create new layers of vulnerability (e.g. displacement, urbanisation)</w:t>
      </w:r>
      <w:r w:rsidR="006B53DD">
        <w:rPr>
          <w:rFonts w:asciiTheme="minorHAnsi" w:hAnsiTheme="minorHAnsi"/>
          <w:sz w:val="22"/>
        </w:rPr>
        <w:t xml:space="preserve"> (UNDP, 2010)</w:t>
      </w:r>
      <w:r w:rsidR="009B147E">
        <w:rPr>
          <w:rFonts w:asciiTheme="minorHAnsi" w:hAnsiTheme="minorHAnsi"/>
          <w:sz w:val="22"/>
        </w:rPr>
        <w:t xml:space="preserve">. </w:t>
      </w:r>
      <w:r w:rsidR="00E92089">
        <w:rPr>
          <w:rFonts w:asciiTheme="minorHAnsi" w:hAnsiTheme="minorHAnsi"/>
          <w:sz w:val="22"/>
        </w:rPr>
        <w:t xml:space="preserve">As one </w:t>
      </w:r>
      <w:r w:rsidR="00582D69">
        <w:rPr>
          <w:rFonts w:asciiTheme="minorHAnsi" w:hAnsiTheme="minorHAnsi"/>
          <w:sz w:val="22"/>
        </w:rPr>
        <w:t xml:space="preserve">GSI </w:t>
      </w:r>
      <w:r w:rsidR="00E92089">
        <w:rPr>
          <w:rFonts w:asciiTheme="minorHAnsi" w:hAnsiTheme="minorHAnsi"/>
          <w:sz w:val="22"/>
        </w:rPr>
        <w:t xml:space="preserve">practitioner noted: </w:t>
      </w:r>
      <w:r w:rsidR="00E92089">
        <w:rPr>
          <w:rFonts w:asciiTheme="minorHAnsi" w:hAnsiTheme="minorHAnsi"/>
          <w:i/>
          <w:sz w:val="22"/>
        </w:rPr>
        <w:t>“mainstreaming requires an increased understanding of the nexus between gender a</w:t>
      </w:r>
      <w:r w:rsidR="00074BB5">
        <w:rPr>
          <w:rFonts w:asciiTheme="minorHAnsi" w:hAnsiTheme="minorHAnsi"/>
          <w:i/>
          <w:sz w:val="22"/>
        </w:rPr>
        <w:t>nd social realities and CCDRM”.</w:t>
      </w:r>
      <w:r w:rsidR="00074BB5">
        <w:rPr>
          <w:rStyle w:val="FootnoteReference"/>
          <w:rFonts w:asciiTheme="minorHAnsi" w:hAnsiTheme="minorHAnsi"/>
          <w:i/>
          <w:sz w:val="22"/>
        </w:rPr>
        <w:footnoteReference w:id="8"/>
      </w:r>
      <w:r w:rsidR="00E92089">
        <w:rPr>
          <w:rFonts w:asciiTheme="minorHAnsi" w:hAnsiTheme="minorHAnsi"/>
          <w:i/>
          <w:sz w:val="22"/>
        </w:rPr>
        <w:t xml:space="preserve">. </w:t>
      </w:r>
      <w:r w:rsidR="00275F9E">
        <w:rPr>
          <w:rFonts w:asciiTheme="minorHAnsi" w:hAnsiTheme="minorHAnsi"/>
          <w:sz w:val="22"/>
        </w:rPr>
        <w:t xml:space="preserve">Mainstreaming therefore should promote understanding and responsiveness to the needs and priorities of socially and economically marginal groups. </w:t>
      </w:r>
      <w:r w:rsidR="006B53DD">
        <w:rPr>
          <w:rFonts w:asciiTheme="minorHAnsi" w:hAnsiTheme="minorHAnsi"/>
          <w:sz w:val="22"/>
        </w:rPr>
        <w:t xml:space="preserve"> </w:t>
      </w:r>
    </w:p>
    <w:p w14:paraId="2B899EC3" w14:textId="2C201D04" w:rsidR="006B53DD" w:rsidRPr="004B70AD" w:rsidRDefault="006B53DD" w:rsidP="006B53DD">
      <w:pPr>
        <w:pStyle w:val="ListParagraph"/>
        <w:ind w:left="360"/>
        <w:jc w:val="both"/>
        <w:rPr>
          <w:rFonts w:asciiTheme="minorHAnsi" w:hAnsiTheme="minorHAnsi"/>
          <w:b/>
          <w:sz w:val="22"/>
        </w:rPr>
      </w:pPr>
      <w:r w:rsidRPr="006B53DD">
        <w:rPr>
          <w:i/>
          <w:noProof/>
          <w:color w:val="ED7D31" w:themeColor="accent2"/>
          <w:lang w:val="en-US"/>
        </w:rPr>
        <w:drawing>
          <wp:anchor distT="0" distB="0" distL="114300" distR="114300" simplePos="0" relativeHeight="251725824" behindDoc="1" locked="0" layoutInCell="1" allowOverlap="1" wp14:anchorId="09BC059F" wp14:editId="58C8DEE6">
            <wp:simplePos x="0" y="0"/>
            <wp:positionH relativeFrom="margin">
              <wp:posOffset>85725</wp:posOffset>
            </wp:positionH>
            <wp:positionV relativeFrom="paragraph">
              <wp:posOffset>153035</wp:posOffset>
            </wp:positionV>
            <wp:extent cx="333375" cy="333375"/>
            <wp:effectExtent l="0" t="0" r="9525" b="9525"/>
            <wp:wrapTight wrapText="bothSides">
              <wp:wrapPolygon edited="0">
                <wp:start x="0" y="0"/>
                <wp:lineTo x="0" y="20983"/>
                <wp:lineTo x="20983" y="20983"/>
                <wp:lineTo x="209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p>
    <w:p w14:paraId="5F38AE6A" w14:textId="55D8028B" w:rsidR="004B70AD" w:rsidRPr="00530BF5" w:rsidRDefault="004B70AD" w:rsidP="004B70AD">
      <w:pPr>
        <w:pStyle w:val="ListParagraph"/>
        <w:ind w:left="360"/>
        <w:jc w:val="both"/>
        <w:rPr>
          <w:rFonts w:asciiTheme="minorHAnsi" w:hAnsiTheme="minorHAnsi"/>
          <w:b/>
          <w:sz w:val="22"/>
        </w:rPr>
      </w:pPr>
      <w:r w:rsidRPr="006B53DD">
        <w:rPr>
          <w:rFonts w:ascii="Calibri" w:hAnsi="Calibri"/>
          <w:i/>
          <w:color w:val="ED7D31" w:themeColor="accent2"/>
          <w:sz w:val="22"/>
        </w:rPr>
        <w:t xml:space="preserve">This tool </w:t>
      </w:r>
      <w:r w:rsidR="006B53DD">
        <w:rPr>
          <w:rFonts w:ascii="Calibri" w:hAnsi="Calibri"/>
          <w:i/>
          <w:color w:val="ED7D31" w:themeColor="accent2"/>
          <w:sz w:val="22"/>
        </w:rPr>
        <w:t>promotes mainstreaming that examines</w:t>
      </w:r>
      <w:r w:rsidR="006B53DD" w:rsidRPr="006B53DD">
        <w:rPr>
          <w:rFonts w:ascii="Calibri" w:hAnsi="Calibri"/>
          <w:i/>
          <w:color w:val="ED7D31" w:themeColor="accent2"/>
          <w:sz w:val="22"/>
        </w:rPr>
        <w:t xml:space="preserve"> the inequalities and root causes of vulnerability at the hea</w:t>
      </w:r>
      <w:r w:rsidR="006B53DD">
        <w:rPr>
          <w:rFonts w:ascii="Calibri" w:hAnsi="Calibri"/>
          <w:i/>
          <w:color w:val="ED7D31" w:themeColor="accent2"/>
          <w:sz w:val="22"/>
        </w:rPr>
        <w:t>r</w:t>
      </w:r>
      <w:r w:rsidR="006B53DD" w:rsidRPr="006B53DD">
        <w:rPr>
          <w:rFonts w:ascii="Calibri" w:hAnsi="Calibri"/>
          <w:i/>
          <w:color w:val="ED7D31" w:themeColor="accent2"/>
          <w:sz w:val="22"/>
        </w:rPr>
        <w:t xml:space="preserve">t of the development </w:t>
      </w:r>
      <w:r w:rsidR="006B53DD">
        <w:rPr>
          <w:rFonts w:ascii="Calibri" w:hAnsi="Calibri"/>
          <w:i/>
          <w:color w:val="ED7D31" w:themeColor="accent2"/>
          <w:sz w:val="22"/>
        </w:rPr>
        <w:t>agenda.</w:t>
      </w:r>
    </w:p>
    <w:p w14:paraId="0237A1DE" w14:textId="77777777" w:rsidR="00530BF5" w:rsidRPr="00530BF5" w:rsidRDefault="00530BF5" w:rsidP="00530BF5">
      <w:pPr>
        <w:pStyle w:val="ListParagraph"/>
        <w:rPr>
          <w:rFonts w:asciiTheme="minorHAnsi" w:hAnsiTheme="minorHAnsi"/>
          <w:b/>
          <w:sz w:val="22"/>
        </w:rPr>
      </w:pPr>
    </w:p>
    <w:p w14:paraId="07BD7DF2" w14:textId="62933F27" w:rsidR="00EF57E2" w:rsidRPr="00767B1D" w:rsidRDefault="00855EB5" w:rsidP="00C86E69">
      <w:pPr>
        <w:pStyle w:val="ListParagraph"/>
        <w:numPr>
          <w:ilvl w:val="0"/>
          <w:numId w:val="3"/>
        </w:numPr>
        <w:jc w:val="both"/>
        <w:rPr>
          <w:rFonts w:ascii="Calibri" w:hAnsi="Calibri"/>
          <w:lang w:val="en"/>
        </w:rPr>
      </w:pPr>
      <w:r>
        <w:rPr>
          <w:rFonts w:asciiTheme="minorHAnsi" w:hAnsiTheme="minorHAnsi"/>
          <w:b/>
          <w:sz w:val="22"/>
        </w:rPr>
        <w:t xml:space="preserve">Mainstreaming </w:t>
      </w:r>
      <w:r w:rsidR="00052B4D">
        <w:rPr>
          <w:rFonts w:asciiTheme="minorHAnsi" w:hAnsiTheme="minorHAnsi"/>
          <w:b/>
          <w:sz w:val="22"/>
        </w:rPr>
        <w:t xml:space="preserve">involves all stakeholders.  </w:t>
      </w:r>
      <w:r w:rsidR="00E44A0B">
        <w:rPr>
          <w:rFonts w:asciiTheme="minorHAnsi" w:hAnsiTheme="minorHAnsi"/>
          <w:sz w:val="22"/>
        </w:rPr>
        <w:t xml:space="preserve">Mainstreaming </w:t>
      </w:r>
      <w:r w:rsidR="00052B4D">
        <w:rPr>
          <w:rFonts w:asciiTheme="minorHAnsi" w:hAnsiTheme="minorHAnsi"/>
          <w:sz w:val="22"/>
        </w:rPr>
        <w:t xml:space="preserve">is a multi-stakeholder process, involving </w:t>
      </w:r>
      <w:r w:rsidR="00E44A0B">
        <w:rPr>
          <w:rFonts w:asciiTheme="minorHAnsi" w:hAnsiTheme="minorHAnsi"/>
          <w:sz w:val="22"/>
        </w:rPr>
        <w:t xml:space="preserve">a </w:t>
      </w:r>
      <w:r w:rsidR="00E44A0B" w:rsidRPr="00033A3F">
        <w:rPr>
          <w:rFonts w:asciiTheme="minorHAnsi" w:hAnsiTheme="minorHAnsi"/>
          <w:sz w:val="22"/>
        </w:rPr>
        <w:t xml:space="preserve">wide range of stakeholder to support collective action in reducing vulnerabilities on the ground and promoting risk informed development. </w:t>
      </w:r>
      <w:r w:rsidR="00033A3F" w:rsidRPr="00033A3F">
        <w:rPr>
          <w:rFonts w:asciiTheme="minorHAnsi" w:hAnsiTheme="minorHAnsi"/>
          <w:sz w:val="22"/>
        </w:rPr>
        <w:t>Recent research suggests that f</w:t>
      </w:r>
      <w:r w:rsidR="00EF57E2" w:rsidRPr="00033A3F">
        <w:rPr>
          <w:rFonts w:ascii="Calibri" w:hAnsi="Calibri"/>
          <w:sz w:val="22"/>
          <w:lang w:val="en"/>
        </w:rPr>
        <w:t>or mainstreaming to be successful, it will require governance (arrangements) that allow synergy and negotiatio</w:t>
      </w:r>
      <w:r w:rsidR="00033A3F">
        <w:rPr>
          <w:rFonts w:ascii="Calibri" w:hAnsi="Calibri"/>
          <w:sz w:val="22"/>
          <w:lang w:val="en"/>
        </w:rPr>
        <w:t>n between diverse groups (Aysan &amp; Lavell, 2014).</w:t>
      </w:r>
      <w:r w:rsidR="0021459B">
        <w:rPr>
          <w:rFonts w:ascii="Calibri" w:hAnsi="Calibri"/>
          <w:sz w:val="22"/>
          <w:lang w:val="en"/>
        </w:rPr>
        <w:t xml:space="preserve"> Similarly, </w:t>
      </w:r>
      <w:r w:rsidR="006737EE">
        <w:rPr>
          <w:rFonts w:ascii="Calibri" w:hAnsi="Calibri"/>
          <w:sz w:val="22"/>
          <w:lang w:val="en"/>
        </w:rPr>
        <w:t>experience shows that for the</w:t>
      </w:r>
      <w:r w:rsidR="0021459B">
        <w:rPr>
          <w:rFonts w:ascii="Calibri" w:hAnsi="Calibri"/>
          <w:sz w:val="22"/>
          <w:lang w:val="en"/>
        </w:rPr>
        <w:t xml:space="preserve"> tool to be replicable, it will need key stakeholders including loc</w:t>
      </w:r>
      <w:r w:rsidR="00582D69">
        <w:rPr>
          <w:rFonts w:ascii="Calibri" w:hAnsi="Calibri"/>
          <w:sz w:val="22"/>
          <w:lang w:val="en"/>
        </w:rPr>
        <w:t xml:space="preserve">al </w:t>
      </w:r>
      <w:r w:rsidR="006737EE">
        <w:rPr>
          <w:rFonts w:ascii="Calibri" w:hAnsi="Calibri"/>
          <w:sz w:val="22"/>
          <w:lang w:val="en"/>
        </w:rPr>
        <w:t>communities: “</w:t>
      </w:r>
      <w:r w:rsidR="006737EE">
        <w:rPr>
          <w:rFonts w:ascii="Calibri" w:hAnsi="Calibri"/>
          <w:i/>
          <w:sz w:val="22"/>
          <w:lang w:val="en"/>
        </w:rPr>
        <w:t>the most critical component for mainstreaming DRR and CCA would be the community, the actual thea</w:t>
      </w:r>
      <w:r w:rsidR="00074BB5">
        <w:rPr>
          <w:rFonts w:ascii="Calibri" w:hAnsi="Calibri"/>
          <w:i/>
          <w:sz w:val="22"/>
          <w:lang w:val="en"/>
        </w:rPr>
        <w:t>tre for most of the activities”</w:t>
      </w:r>
      <w:r w:rsidR="006737EE">
        <w:rPr>
          <w:rFonts w:ascii="Calibri" w:hAnsi="Calibri"/>
          <w:sz w:val="22"/>
          <w:lang w:val="en"/>
        </w:rPr>
        <w:t>.</w:t>
      </w:r>
      <w:r w:rsidR="00074BB5">
        <w:rPr>
          <w:rStyle w:val="FootnoteReference"/>
          <w:rFonts w:ascii="Calibri" w:hAnsi="Calibri"/>
          <w:sz w:val="22"/>
          <w:lang w:val="en"/>
        </w:rPr>
        <w:footnoteReference w:id="9"/>
      </w:r>
      <w:r w:rsidR="006737EE">
        <w:rPr>
          <w:rFonts w:ascii="Calibri" w:hAnsi="Calibri"/>
          <w:sz w:val="22"/>
          <w:lang w:val="en"/>
        </w:rPr>
        <w:t xml:space="preserve"> </w:t>
      </w:r>
    </w:p>
    <w:p w14:paraId="5095FF93" w14:textId="00B6B4BD" w:rsidR="00855EB5" w:rsidRPr="00A76FF0" w:rsidRDefault="00033A3F" w:rsidP="00033A3F">
      <w:pPr>
        <w:pStyle w:val="ListParagraph"/>
        <w:ind w:left="360"/>
        <w:jc w:val="both"/>
        <w:rPr>
          <w:rFonts w:asciiTheme="minorHAnsi" w:hAnsiTheme="minorHAnsi"/>
          <w:b/>
          <w:sz w:val="22"/>
        </w:rPr>
      </w:pPr>
      <w:r w:rsidRPr="00EF57E2">
        <w:rPr>
          <w:i/>
          <w:noProof/>
          <w:color w:val="0070C0"/>
          <w:lang w:val="en-US"/>
        </w:rPr>
        <w:drawing>
          <wp:anchor distT="0" distB="0" distL="114300" distR="114300" simplePos="0" relativeHeight="251729920" behindDoc="1" locked="0" layoutInCell="1" allowOverlap="1" wp14:anchorId="663E218B" wp14:editId="2D1C028F">
            <wp:simplePos x="0" y="0"/>
            <wp:positionH relativeFrom="margin">
              <wp:posOffset>9525</wp:posOffset>
            </wp:positionH>
            <wp:positionV relativeFrom="paragraph">
              <wp:posOffset>196215</wp:posOffset>
            </wp:positionV>
            <wp:extent cx="333375" cy="333375"/>
            <wp:effectExtent l="0" t="0" r="9525" b="9525"/>
            <wp:wrapTight wrapText="bothSides">
              <wp:wrapPolygon edited="0">
                <wp:start x="0" y="0"/>
                <wp:lineTo x="0" y="20983"/>
                <wp:lineTo x="20983" y="20983"/>
                <wp:lineTo x="2098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p>
    <w:p w14:paraId="6E8E5ACB" w14:textId="0367B3DF" w:rsidR="004B70AD" w:rsidRDefault="004B70AD" w:rsidP="004B70AD">
      <w:pPr>
        <w:pStyle w:val="ListParagraph"/>
        <w:ind w:left="360"/>
        <w:jc w:val="both"/>
        <w:rPr>
          <w:rFonts w:ascii="Calibri" w:hAnsi="Calibri"/>
          <w:i/>
          <w:color w:val="ED7D31" w:themeColor="accent2"/>
          <w:sz w:val="22"/>
        </w:rPr>
      </w:pPr>
      <w:r w:rsidRPr="00E92089">
        <w:rPr>
          <w:rFonts w:ascii="Calibri" w:hAnsi="Calibri"/>
          <w:i/>
          <w:color w:val="ED7D31" w:themeColor="accent2"/>
          <w:sz w:val="22"/>
        </w:rPr>
        <w:t xml:space="preserve">This tool </w:t>
      </w:r>
      <w:r w:rsidR="00033A3F" w:rsidRPr="00E92089">
        <w:rPr>
          <w:rFonts w:ascii="Calibri" w:hAnsi="Calibri"/>
          <w:i/>
          <w:color w:val="ED7D31" w:themeColor="accent2"/>
          <w:sz w:val="22"/>
        </w:rPr>
        <w:t xml:space="preserve">identifies the differing but important and </w:t>
      </w:r>
      <w:r w:rsidR="00E92089">
        <w:rPr>
          <w:rFonts w:ascii="Calibri" w:hAnsi="Calibri"/>
          <w:i/>
          <w:color w:val="ED7D31" w:themeColor="accent2"/>
          <w:sz w:val="22"/>
        </w:rPr>
        <w:t xml:space="preserve">varied </w:t>
      </w:r>
      <w:r w:rsidR="00033A3F" w:rsidRPr="00E92089">
        <w:rPr>
          <w:rFonts w:ascii="Calibri" w:hAnsi="Calibri"/>
          <w:i/>
          <w:color w:val="ED7D31" w:themeColor="accent2"/>
          <w:sz w:val="22"/>
        </w:rPr>
        <w:t>role</w:t>
      </w:r>
      <w:r w:rsidR="00E92089">
        <w:rPr>
          <w:rFonts w:ascii="Calibri" w:hAnsi="Calibri"/>
          <w:i/>
          <w:color w:val="ED7D31" w:themeColor="accent2"/>
          <w:sz w:val="22"/>
        </w:rPr>
        <w:t>s</w:t>
      </w:r>
      <w:r w:rsidR="00033A3F" w:rsidRPr="00E92089">
        <w:rPr>
          <w:rFonts w:ascii="Calibri" w:hAnsi="Calibri"/>
          <w:i/>
          <w:color w:val="ED7D31" w:themeColor="accent2"/>
          <w:sz w:val="22"/>
        </w:rPr>
        <w:t xml:space="preserve"> that </w:t>
      </w:r>
      <w:r w:rsidR="00E92089">
        <w:rPr>
          <w:rFonts w:ascii="Calibri" w:hAnsi="Calibri"/>
          <w:i/>
          <w:color w:val="ED7D31" w:themeColor="accent2"/>
          <w:sz w:val="22"/>
        </w:rPr>
        <w:t>stakeholders</w:t>
      </w:r>
      <w:r w:rsidR="006737EE">
        <w:rPr>
          <w:rFonts w:ascii="Calibri" w:hAnsi="Calibri"/>
          <w:i/>
          <w:color w:val="ED7D31" w:themeColor="accent2"/>
          <w:sz w:val="22"/>
        </w:rPr>
        <w:t xml:space="preserve"> play to support mainstreaming and highlights how these actors can be engaged to increase success. </w:t>
      </w:r>
    </w:p>
    <w:p w14:paraId="487CEB41" w14:textId="0D5D0C8E" w:rsidR="000922BC" w:rsidRDefault="000922BC" w:rsidP="004B70AD">
      <w:pPr>
        <w:pStyle w:val="ListParagraph"/>
        <w:ind w:left="360"/>
        <w:jc w:val="both"/>
        <w:rPr>
          <w:rFonts w:ascii="Calibri" w:hAnsi="Calibri"/>
          <w:i/>
          <w:color w:val="ED7D31" w:themeColor="accent2"/>
          <w:sz w:val="22"/>
        </w:rPr>
      </w:pPr>
    </w:p>
    <w:p w14:paraId="5D22E949" w14:textId="5FA50D7C" w:rsidR="006368D1" w:rsidRDefault="00033A3F" w:rsidP="00074BB5">
      <w:pPr>
        <w:jc w:val="both"/>
      </w:pPr>
      <w:r>
        <w:rPr>
          <w:b/>
        </w:rPr>
        <w:t>In su</w:t>
      </w:r>
      <w:r w:rsidR="00C635AF">
        <w:rPr>
          <w:b/>
        </w:rPr>
        <w:t xml:space="preserve">mmary, </w:t>
      </w:r>
      <w:r w:rsidR="006737EE">
        <w:rPr>
          <w:b/>
        </w:rPr>
        <w:t xml:space="preserve">these </w:t>
      </w:r>
      <w:r w:rsidR="00C635AF">
        <w:rPr>
          <w:b/>
        </w:rPr>
        <w:t xml:space="preserve">mainstreaming </w:t>
      </w:r>
      <w:r w:rsidR="00C635AF" w:rsidRPr="00C635AF">
        <w:rPr>
          <w:b/>
        </w:rPr>
        <w:t xml:space="preserve">principles, which </w:t>
      </w:r>
      <w:r w:rsidR="006737EE">
        <w:rPr>
          <w:b/>
        </w:rPr>
        <w:t xml:space="preserve">have been identified from the experiences of </w:t>
      </w:r>
      <w:r w:rsidR="00074BB5">
        <w:rPr>
          <w:b/>
        </w:rPr>
        <w:t xml:space="preserve">UNDP and a broad range of </w:t>
      </w:r>
      <w:r w:rsidR="006737EE">
        <w:rPr>
          <w:b/>
        </w:rPr>
        <w:t>practitioners,</w:t>
      </w:r>
      <w:r w:rsidR="00C635AF" w:rsidRPr="00C635AF">
        <w:rPr>
          <w:b/>
        </w:rPr>
        <w:t xml:space="preserve"> </w:t>
      </w:r>
      <w:r w:rsidRPr="00C635AF">
        <w:rPr>
          <w:b/>
        </w:rPr>
        <w:t>should</w:t>
      </w:r>
      <w:r>
        <w:rPr>
          <w:b/>
        </w:rPr>
        <w:t xml:space="preserve"> guide the application of the mainstreaming tool</w:t>
      </w:r>
      <w:r w:rsidR="00C635AF">
        <w:rPr>
          <w:b/>
        </w:rPr>
        <w:t>.</w:t>
      </w:r>
      <w:r w:rsidR="006368D1">
        <w:br w:type="page"/>
      </w:r>
    </w:p>
    <w:p w14:paraId="721B5271" w14:textId="105A564A" w:rsidR="00BE6EFC" w:rsidRDefault="001B0467" w:rsidP="00D548B7">
      <w:pPr>
        <w:pStyle w:val="Heading1"/>
      </w:pPr>
      <w:bookmarkStart w:id="31" w:name="_Toc451409703"/>
      <w:bookmarkStart w:id="32" w:name="_Toc451948700"/>
      <w:r w:rsidRPr="000A0820">
        <w:t>M</w:t>
      </w:r>
      <w:r w:rsidR="009F508D" w:rsidRPr="000A0820">
        <w:t>ainstreaming</w:t>
      </w:r>
      <w:r w:rsidR="009F508D">
        <w:t xml:space="preserve"> Components</w:t>
      </w:r>
      <w:bookmarkEnd w:id="31"/>
      <w:bookmarkEnd w:id="32"/>
    </w:p>
    <w:p w14:paraId="74AD1F95" w14:textId="77777777" w:rsidR="00791CB9" w:rsidRPr="00791CB9" w:rsidRDefault="00791CB9" w:rsidP="00791CB9"/>
    <w:p w14:paraId="1496F9CC" w14:textId="07BDE6FF" w:rsidR="003545A6" w:rsidRPr="00791CB9" w:rsidRDefault="0023409D" w:rsidP="0023409D">
      <w:pPr>
        <w:jc w:val="both"/>
        <w:rPr>
          <w:i/>
        </w:rPr>
      </w:pPr>
      <w:r>
        <w:t xml:space="preserve">This section provides guidance on </w:t>
      </w:r>
      <w:r w:rsidR="004430BE">
        <w:t xml:space="preserve">five </w:t>
      </w:r>
      <w:r w:rsidR="00074BB5">
        <w:t>critical</w:t>
      </w:r>
      <w:r w:rsidR="002425BB">
        <w:t xml:space="preserve"> </w:t>
      </w:r>
      <w:r w:rsidR="00074BB5">
        <w:t xml:space="preserve">components/entry points </w:t>
      </w:r>
      <w:r w:rsidR="002425BB">
        <w:t xml:space="preserve">that </w:t>
      </w:r>
      <w:r w:rsidR="00791CB9">
        <w:t>can</w:t>
      </w:r>
      <w:r w:rsidR="00074BB5">
        <w:t xml:space="preserve"> help advance and institutionalize the mainstreaming process </w:t>
      </w:r>
      <w:r w:rsidR="007D1173">
        <w:t xml:space="preserve">(see </w:t>
      </w:r>
      <w:r w:rsidR="007D1173">
        <w:rPr>
          <w:i/>
        </w:rPr>
        <w:t xml:space="preserve">Figure </w:t>
      </w:r>
      <w:r w:rsidR="007D09CC">
        <w:rPr>
          <w:i/>
        </w:rPr>
        <w:t>3</w:t>
      </w:r>
      <w:r w:rsidR="007D1173">
        <w:rPr>
          <w:i/>
        </w:rPr>
        <w:t>)</w:t>
      </w:r>
      <w:r w:rsidR="00416C8C">
        <w:rPr>
          <w:i/>
        </w:rPr>
        <w:t>.</w:t>
      </w:r>
      <w:r w:rsidR="00ED522D">
        <w:rPr>
          <w:i/>
        </w:rPr>
        <w:t xml:space="preserve">  </w:t>
      </w:r>
      <w:r w:rsidR="00791CB9">
        <w:t>Each mainstreaming component is</w:t>
      </w:r>
      <w:r w:rsidR="004430BE">
        <w:t xml:space="preserve"> subdivided into </w:t>
      </w:r>
      <w:r w:rsidR="00791CB9">
        <w:t>four</w:t>
      </w:r>
      <w:r w:rsidR="00ED522D">
        <w:t xml:space="preserve"> </w:t>
      </w:r>
      <w:r w:rsidR="00074BB5">
        <w:t xml:space="preserve">sub-categories. </w:t>
      </w:r>
    </w:p>
    <w:p w14:paraId="358A322D" w14:textId="77777777" w:rsidR="00072388" w:rsidRDefault="000936AD" w:rsidP="0004335E">
      <w:pPr>
        <w:rPr>
          <w:noProof/>
          <w:lang w:bidi="ar-SA"/>
        </w:rPr>
      </w:pPr>
      <w:r w:rsidRPr="00ED522D">
        <w:rPr>
          <w:b/>
          <w:i/>
        </w:rPr>
        <w:t xml:space="preserve">Figure </w:t>
      </w:r>
      <w:r w:rsidR="007D09CC">
        <w:rPr>
          <w:b/>
          <w:i/>
        </w:rPr>
        <w:t>3</w:t>
      </w:r>
      <w:r w:rsidRPr="00ED522D">
        <w:rPr>
          <w:b/>
          <w:i/>
        </w:rPr>
        <w:t xml:space="preserve">:  </w:t>
      </w:r>
      <w:r w:rsidR="00894298">
        <w:rPr>
          <w:b/>
          <w:i/>
        </w:rPr>
        <w:t>Mainstreaming Components</w:t>
      </w:r>
      <w:r w:rsidR="00F7693B">
        <w:rPr>
          <w:b/>
          <w:i/>
        </w:rPr>
        <w:t xml:space="preserve"> </w:t>
      </w:r>
    </w:p>
    <w:p w14:paraId="78F77FAF" w14:textId="361CF30D" w:rsidR="007D1173" w:rsidRPr="00072388" w:rsidRDefault="00072388" w:rsidP="00072388">
      <w:pPr>
        <w:rPr>
          <w:b/>
          <w:i/>
        </w:rPr>
      </w:pPr>
      <w:r>
        <w:rPr>
          <w:noProof/>
          <w:lang w:bidi="ar-SA"/>
        </w:rPr>
        <w:drawing>
          <wp:inline distT="0" distB="0" distL="0" distR="0" wp14:anchorId="1D60F250" wp14:editId="54FAF9F8">
            <wp:extent cx="6718602" cy="3779520"/>
            <wp:effectExtent l="0" t="0" r="635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3466" cy="3787881"/>
                    </a:xfrm>
                    <a:prstGeom prst="rect">
                      <a:avLst/>
                    </a:prstGeom>
                    <a:noFill/>
                  </pic:spPr>
                </pic:pic>
              </a:graphicData>
            </a:graphic>
          </wp:inline>
        </w:drawing>
      </w:r>
    </w:p>
    <w:p w14:paraId="5B60CFED" w14:textId="4ED24B46" w:rsidR="00425B99" w:rsidRPr="00195184" w:rsidRDefault="00791CB9" w:rsidP="00195184">
      <w:pPr>
        <w:jc w:val="both"/>
      </w:pPr>
      <w:r>
        <w:t xml:space="preserve">The following considerations should be kept in mind, whilst working to strengthen priority components and entry points </w:t>
      </w:r>
      <w:r w:rsidR="007D09CC">
        <w:t>for</w:t>
      </w:r>
      <w:r>
        <w:t xml:space="preserve"> mainstreaming.</w:t>
      </w:r>
      <w:r w:rsidR="00894298">
        <w:t xml:space="preserve"> </w:t>
      </w:r>
    </w:p>
    <w:p w14:paraId="749EA8C6" w14:textId="77777777" w:rsidR="00195184" w:rsidRDefault="00B53CFE" w:rsidP="008B006C">
      <w:pPr>
        <w:pStyle w:val="ListParagraph"/>
        <w:numPr>
          <w:ilvl w:val="0"/>
          <w:numId w:val="5"/>
        </w:numPr>
        <w:jc w:val="both"/>
        <w:rPr>
          <w:rFonts w:asciiTheme="minorHAnsi" w:hAnsiTheme="minorHAnsi"/>
          <w:sz w:val="22"/>
        </w:rPr>
      </w:pPr>
      <w:r w:rsidRPr="00195184">
        <w:rPr>
          <w:rFonts w:asciiTheme="minorHAnsi" w:hAnsiTheme="minorHAnsi"/>
          <w:b/>
          <w:sz w:val="22"/>
        </w:rPr>
        <w:t xml:space="preserve">The starting </w:t>
      </w:r>
      <w:r w:rsidR="00E41B2B" w:rsidRPr="00195184">
        <w:rPr>
          <w:rFonts w:asciiTheme="minorHAnsi" w:hAnsiTheme="minorHAnsi"/>
          <w:b/>
          <w:sz w:val="22"/>
        </w:rPr>
        <w:t>component</w:t>
      </w:r>
      <w:r w:rsidRPr="00195184">
        <w:rPr>
          <w:rFonts w:asciiTheme="minorHAnsi" w:hAnsiTheme="minorHAnsi"/>
          <w:b/>
          <w:sz w:val="22"/>
        </w:rPr>
        <w:t xml:space="preserve"> is context specific</w:t>
      </w:r>
      <w:r w:rsidR="00E41B2B" w:rsidRPr="00195184">
        <w:rPr>
          <w:rFonts w:asciiTheme="minorHAnsi" w:hAnsiTheme="minorHAnsi"/>
          <w:b/>
          <w:sz w:val="22"/>
        </w:rPr>
        <w:t>.</w:t>
      </w:r>
      <w:r w:rsidR="00E41B2B" w:rsidRPr="00195184">
        <w:rPr>
          <w:rFonts w:asciiTheme="minorHAnsi" w:hAnsiTheme="minorHAnsi"/>
          <w:sz w:val="22"/>
        </w:rPr>
        <w:t xml:space="preserve">  </w:t>
      </w:r>
      <w:r w:rsidR="002425BB" w:rsidRPr="00195184">
        <w:rPr>
          <w:rFonts w:asciiTheme="minorHAnsi" w:hAnsiTheme="minorHAnsi"/>
          <w:sz w:val="22"/>
        </w:rPr>
        <w:t>There is no one right starting point for mainstreaming</w:t>
      </w:r>
      <w:r w:rsidR="00791CB9" w:rsidRPr="00195184">
        <w:rPr>
          <w:rFonts w:asciiTheme="minorHAnsi" w:hAnsiTheme="minorHAnsi"/>
          <w:sz w:val="22"/>
        </w:rPr>
        <w:t xml:space="preserve"> and</w:t>
      </w:r>
      <w:r w:rsidR="002425BB" w:rsidRPr="00195184">
        <w:rPr>
          <w:rFonts w:asciiTheme="minorHAnsi" w:hAnsiTheme="minorHAnsi"/>
          <w:sz w:val="22"/>
        </w:rPr>
        <w:t xml:space="preserve"> </w:t>
      </w:r>
      <w:r w:rsidR="007D09CC" w:rsidRPr="00195184">
        <w:rPr>
          <w:rFonts w:asciiTheme="minorHAnsi" w:hAnsiTheme="minorHAnsi"/>
          <w:sz w:val="22"/>
        </w:rPr>
        <w:t xml:space="preserve">entry points </w:t>
      </w:r>
      <w:r w:rsidR="002425BB" w:rsidRPr="00195184">
        <w:rPr>
          <w:rFonts w:asciiTheme="minorHAnsi" w:hAnsiTheme="minorHAnsi"/>
          <w:sz w:val="22"/>
        </w:rPr>
        <w:t xml:space="preserve">will </w:t>
      </w:r>
      <w:r w:rsidR="00C007E3" w:rsidRPr="00195184">
        <w:rPr>
          <w:rFonts w:asciiTheme="minorHAnsi" w:hAnsiTheme="minorHAnsi"/>
          <w:sz w:val="22"/>
        </w:rPr>
        <w:t>depend on the context</w:t>
      </w:r>
      <w:r w:rsidR="00E41B2B" w:rsidRPr="00195184">
        <w:rPr>
          <w:rFonts w:asciiTheme="minorHAnsi" w:hAnsiTheme="minorHAnsi"/>
          <w:sz w:val="22"/>
        </w:rPr>
        <w:t xml:space="preserve"> and </w:t>
      </w:r>
      <w:r w:rsidR="00C007E3" w:rsidRPr="00195184">
        <w:rPr>
          <w:rFonts w:asciiTheme="minorHAnsi" w:hAnsiTheme="minorHAnsi"/>
          <w:sz w:val="22"/>
        </w:rPr>
        <w:t xml:space="preserve">the </w:t>
      </w:r>
      <w:r w:rsidR="00425B99" w:rsidRPr="00195184">
        <w:rPr>
          <w:rFonts w:asciiTheme="minorHAnsi" w:hAnsiTheme="minorHAnsi"/>
          <w:sz w:val="22"/>
        </w:rPr>
        <w:t>best possible combination of priority entry points that w</w:t>
      </w:r>
      <w:r w:rsidR="00C007E3" w:rsidRPr="00195184">
        <w:rPr>
          <w:rFonts w:asciiTheme="minorHAnsi" w:hAnsiTheme="minorHAnsi"/>
          <w:sz w:val="22"/>
        </w:rPr>
        <w:t>ill</w:t>
      </w:r>
      <w:r w:rsidR="00425B99" w:rsidRPr="00195184">
        <w:rPr>
          <w:rFonts w:asciiTheme="minorHAnsi" w:hAnsiTheme="minorHAnsi"/>
          <w:sz w:val="22"/>
        </w:rPr>
        <w:t xml:space="preserve"> assist in achieving the intended outcome of a specific country</w:t>
      </w:r>
      <w:r w:rsidR="00425B99" w:rsidRPr="00195184">
        <w:rPr>
          <w:rFonts w:asciiTheme="minorHAnsi" w:hAnsiTheme="minorHAnsi"/>
          <w:i/>
          <w:sz w:val="22"/>
        </w:rPr>
        <w:t xml:space="preserve">. </w:t>
      </w:r>
      <w:r w:rsidR="002425BB" w:rsidRPr="00195184">
        <w:rPr>
          <w:rFonts w:asciiTheme="minorHAnsi" w:hAnsiTheme="minorHAnsi"/>
          <w:sz w:val="22"/>
        </w:rPr>
        <w:t xml:space="preserve">In most cases, it will be important to work on a number of </w:t>
      </w:r>
      <w:r w:rsidR="00C007E3" w:rsidRPr="00195184">
        <w:rPr>
          <w:rFonts w:asciiTheme="minorHAnsi" w:hAnsiTheme="minorHAnsi"/>
          <w:sz w:val="22"/>
        </w:rPr>
        <w:t>entry points</w:t>
      </w:r>
      <w:r w:rsidR="00791CB9" w:rsidRPr="00195184">
        <w:rPr>
          <w:rFonts w:asciiTheme="minorHAnsi" w:hAnsiTheme="minorHAnsi"/>
          <w:sz w:val="22"/>
        </w:rPr>
        <w:t xml:space="preserve"> simultaneously, as is shown in the case studies in </w:t>
      </w:r>
      <w:r w:rsidR="00791CB9" w:rsidRPr="00195184">
        <w:rPr>
          <w:rFonts w:asciiTheme="minorHAnsi" w:hAnsiTheme="minorHAnsi"/>
          <w:i/>
          <w:sz w:val="22"/>
        </w:rPr>
        <w:t>Section 7.</w:t>
      </w:r>
      <w:r w:rsidR="002425BB" w:rsidRPr="00195184">
        <w:rPr>
          <w:rFonts w:asciiTheme="minorHAnsi" w:hAnsiTheme="minorHAnsi"/>
          <w:sz w:val="22"/>
        </w:rPr>
        <w:t xml:space="preserve">  </w:t>
      </w:r>
      <w:r w:rsidR="00EA636B" w:rsidRPr="00195184">
        <w:rPr>
          <w:rFonts w:asciiTheme="minorHAnsi" w:hAnsiTheme="minorHAnsi"/>
          <w:sz w:val="22"/>
        </w:rPr>
        <w:t xml:space="preserve">It is important to note that </w:t>
      </w:r>
      <w:r w:rsidR="00DB7E51" w:rsidRPr="00195184">
        <w:rPr>
          <w:rFonts w:asciiTheme="minorHAnsi" w:hAnsiTheme="minorHAnsi"/>
          <w:sz w:val="22"/>
        </w:rPr>
        <w:t xml:space="preserve">the ordering of the components in the </w:t>
      </w:r>
      <w:r w:rsidR="00791CB9" w:rsidRPr="00195184">
        <w:rPr>
          <w:rFonts w:asciiTheme="minorHAnsi" w:hAnsiTheme="minorHAnsi"/>
          <w:sz w:val="22"/>
        </w:rPr>
        <w:t>following section</w:t>
      </w:r>
      <w:r w:rsidR="00DB7E51" w:rsidRPr="00195184">
        <w:rPr>
          <w:rFonts w:asciiTheme="minorHAnsi" w:hAnsiTheme="minorHAnsi"/>
          <w:sz w:val="22"/>
        </w:rPr>
        <w:t xml:space="preserve">, does not indicate a prescribed sequence for applying the </w:t>
      </w:r>
      <w:r w:rsidR="00EA636B" w:rsidRPr="00195184">
        <w:rPr>
          <w:rFonts w:asciiTheme="minorHAnsi" w:hAnsiTheme="minorHAnsi"/>
          <w:sz w:val="22"/>
        </w:rPr>
        <w:t>tool</w:t>
      </w:r>
      <w:r w:rsidR="00DB7E51" w:rsidRPr="00195184">
        <w:rPr>
          <w:rFonts w:asciiTheme="minorHAnsi" w:hAnsiTheme="minorHAnsi"/>
          <w:sz w:val="22"/>
        </w:rPr>
        <w:t xml:space="preserve"> in practice.</w:t>
      </w:r>
    </w:p>
    <w:p w14:paraId="42B9A56E" w14:textId="05BDA6CC" w:rsidR="003545A6" w:rsidRPr="00195184" w:rsidRDefault="00DB7E51" w:rsidP="00195184">
      <w:pPr>
        <w:pStyle w:val="ListParagraph"/>
        <w:ind w:left="405"/>
        <w:jc w:val="both"/>
        <w:rPr>
          <w:rFonts w:asciiTheme="minorHAnsi" w:hAnsiTheme="minorHAnsi"/>
          <w:sz w:val="22"/>
        </w:rPr>
      </w:pPr>
      <w:r w:rsidRPr="00195184">
        <w:rPr>
          <w:rFonts w:asciiTheme="minorHAnsi" w:hAnsiTheme="minorHAnsi"/>
          <w:sz w:val="22"/>
        </w:rPr>
        <w:t xml:space="preserve"> </w:t>
      </w:r>
    </w:p>
    <w:p w14:paraId="03111AD4" w14:textId="77777777" w:rsidR="00195184" w:rsidRPr="00195184" w:rsidRDefault="004A1B64" w:rsidP="008B006C">
      <w:pPr>
        <w:pStyle w:val="ListParagraph"/>
        <w:numPr>
          <w:ilvl w:val="0"/>
          <w:numId w:val="5"/>
        </w:numPr>
        <w:jc w:val="both"/>
        <w:rPr>
          <w:rFonts w:asciiTheme="minorHAnsi" w:hAnsiTheme="minorHAnsi"/>
          <w:sz w:val="22"/>
        </w:rPr>
      </w:pPr>
      <w:r w:rsidRPr="00195184">
        <w:rPr>
          <w:rFonts w:asciiTheme="minorHAnsi" w:hAnsiTheme="minorHAnsi"/>
          <w:b/>
          <w:sz w:val="22"/>
        </w:rPr>
        <w:t>The c</w:t>
      </w:r>
      <w:r w:rsidR="00425650" w:rsidRPr="00195184">
        <w:rPr>
          <w:rFonts w:asciiTheme="minorHAnsi" w:hAnsiTheme="minorHAnsi"/>
          <w:b/>
          <w:sz w:val="22"/>
        </w:rPr>
        <w:t xml:space="preserve">omponents </w:t>
      </w:r>
      <w:r w:rsidR="00E41B2B" w:rsidRPr="00195184">
        <w:rPr>
          <w:rFonts w:asciiTheme="minorHAnsi" w:hAnsiTheme="minorHAnsi"/>
          <w:b/>
          <w:sz w:val="22"/>
        </w:rPr>
        <w:t xml:space="preserve">are inter-related.  </w:t>
      </w:r>
      <w:r w:rsidR="00E41B2B" w:rsidRPr="00195184">
        <w:rPr>
          <w:rFonts w:asciiTheme="minorHAnsi" w:hAnsiTheme="minorHAnsi"/>
          <w:sz w:val="22"/>
        </w:rPr>
        <w:t xml:space="preserve">The </w:t>
      </w:r>
      <w:r w:rsidR="006A5409" w:rsidRPr="00195184">
        <w:rPr>
          <w:rFonts w:asciiTheme="minorHAnsi" w:hAnsiTheme="minorHAnsi"/>
          <w:sz w:val="22"/>
        </w:rPr>
        <w:t>entry points</w:t>
      </w:r>
      <w:r w:rsidR="00E41B2B" w:rsidRPr="00195184">
        <w:rPr>
          <w:rFonts w:asciiTheme="minorHAnsi" w:hAnsiTheme="minorHAnsi"/>
          <w:sz w:val="22"/>
        </w:rPr>
        <w:t xml:space="preserve"> are all inter-</w:t>
      </w:r>
      <w:r w:rsidR="003545A6" w:rsidRPr="00195184">
        <w:rPr>
          <w:rFonts w:asciiTheme="minorHAnsi" w:hAnsiTheme="minorHAnsi"/>
          <w:sz w:val="22"/>
        </w:rPr>
        <w:t>related</w:t>
      </w:r>
      <w:r w:rsidR="00E41B2B" w:rsidRPr="00195184">
        <w:rPr>
          <w:rFonts w:asciiTheme="minorHAnsi" w:hAnsiTheme="minorHAnsi"/>
          <w:sz w:val="22"/>
        </w:rPr>
        <w:t xml:space="preserve"> and their interdependence helps gain traction or make progress with other components.</w:t>
      </w:r>
      <w:r w:rsidR="006B53DD" w:rsidRPr="00195184">
        <w:rPr>
          <w:rFonts w:asciiTheme="minorHAnsi" w:hAnsiTheme="minorHAnsi"/>
          <w:sz w:val="22"/>
        </w:rPr>
        <w:t xml:space="preserve">  </w:t>
      </w:r>
      <w:r w:rsidRPr="00195184">
        <w:rPr>
          <w:rFonts w:asciiTheme="minorHAnsi" w:hAnsiTheme="minorHAnsi"/>
          <w:sz w:val="22"/>
        </w:rPr>
        <w:t>This is because r</w:t>
      </w:r>
      <w:r w:rsidR="002460D6" w:rsidRPr="00195184">
        <w:rPr>
          <w:rFonts w:asciiTheme="minorHAnsi" w:hAnsiTheme="minorHAnsi"/>
          <w:sz w:val="22"/>
        </w:rPr>
        <w:t xml:space="preserve">isk governance strengthening is a </w:t>
      </w:r>
      <w:r w:rsidR="002460D6" w:rsidRPr="00195184">
        <w:rPr>
          <w:rFonts w:ascii="Calibri" w:hAnsi="Calibri"/>
          <w:sz w:val="22"/>
          <w:lang w:val="en"/>
        </w:rPr>
        <w:t xml:space="preserve">complex web of context specific processes and interactions of various aspects, institutions and actors.  </w:t>
      </w:r>
      <w:r w:rsidR="007745D1" w:rsidRPr="00195184">
        <w:rPr>
          <w:rFonts w:ascii="Calibri" w:hAnsi="Calibri"/>
          <w:sz w:val="22"/>
        </w:rPr>
        <w:t xml:space="preserve">The entry-points </w:t>
      </w:r>
      <w:r w:rsidR="00C065C4" w:rsidRPr="00195184">
        <w:rPr>
          <w:rFonts w:ascii="Calibri" w:hAnsi="Calibri"/>
          <w:sz w:val="22"/>
        </w:rPr>
        <w:t xml:space="preserve">therefore </w:t>
      </w:r>
      <w:r w:rsidR="007745D1" w:rsidRPr="00195184">
        <w:rPr>
          <w:rFonts w:ascii="Calibri" w:hAnsi="Calibri"/>
          <w:sz w:val="22"/>
        </w:rPr>
        <w:t xml:space="preserve">work in a dynamic way with one </w:t>
      </w:r>
      <w:r w:rsidR="00C007E3" w:rsidRPr="00195184">
        <w:rPr>
          <w:rFonts w:ascii="Calibri" w:hAnsi="Calibri"/>
          <w:sz w:val="22"/>
        </w:rPr>
        <w:t xml:space="preserve">success </w:t>
      </w:r>
      <w:r w:rsidR="007745D1" w:rsidRPr="00195184">
        <w:rPr>
          <w:rFonts w:ascii="Calibri" w:hAnsi="Calibri"/>
          <w:sz w:val="22"/>
        </w:rPr>
        <w:t xml:space="preserve">leading to another. </w:t>
      </w:r>
      <w:r w:rsidR="00791CB9" w:rsidRPr="00195184">
        <w:rPr>
          <w:rFonts w:ascii="Calibri" w:hAnsi="Calibri"/>
          <w:sz w:val="22"/>
        </w:rPr>
        <w:t xml:space="preserve"> This is illustrated clearly in the case studies in </w:t>
      </w:r>
      <w:r w:rsidR="00791CB9" w:rsidRPr="00195184">
        <w:rPr>
          <w:rFonts w:ascii="Calibri" w:hAnsi="Calibri"/>
          <w:i/>
          <w:sz w:val="22"/>
        </w:rPr>
        <w:t>Section 7.</w:t>
      </w:r>
      <w:r w:rsidR="007745D1" w:rsidRPr="00195184">
        <w:rPr>
          <w:rFonts w:ascii="Calibri" w:hAnsi="Calibri"/>
          <w:sz w:val="22"/>
        </w:rPr>
        <w:t xml:space="preserve"> </w:t>
      </w:r>
    </w:p>
    <w:p w14:paraId="03FE66B5" w14:textId="77777777" w:rsidR="00195184" w:rsidRPr="00195184" w:rsidRDefault="00195184" w:rsidP="00195184">
      <w:pPr>
        <w:pStyle w:val="ListParagraph"/>
        <w:rPr>
          <w:rFonts w:asciiTheme="minorHAnsi" w:hAnsiTheme="minorHAnsi"/>
          <w:b/>
          <w:sz w:val="22"/>
        </w:rPr>
      </w:pPr>
    </w:p>
    <w:p w14:paraId="24B79CC1" w14:textId="423EF309" w:rsidR="002460D6" w:rsidRPr="00195184" w:rsidRDefault="00863DFF" w:rsidP="008B006C">
      <w:pPr>
        <w:pStyle w:val="ListParagraph"/>
        <w:numPr>
          <w:ilvl w:val="0"/>
          <w:numId w:val="5"/>
        </w:numPr>
        <w:jc w:val="both"/>
        <w:rPr>
          <w:rFonts w:asciiTheme="minorHAnsi" w:hAnsiTheme="minorHAnsi"/>
          <w:sz w:val="22"/>
        </w:rPr>
      </w:pPr>
      <w:r w:rsidRPr="00195184">
        <w:rPr>
          <w:rFonts w:asciiTheme="minorHAnsi" w:hAnsiTheme="minorHAnsi"/>
          <w:b/>
          <w:sz w:val="22"/>
        </w:rPr>
        <w:t>The c</w:t>
      </w:r>
      <w:r w:rsidR="00E41B2B" w:rsidRPr="00195184">
        <w:rPr>
          <w:rFonts w:asciiTheme="minorHAnsi" w:hAnsiTheme="minorHAnsi"/>
          <w:b/>
          <w:sz w:val="22"/>
        </w:rPr>
        <w:t>omponents</w:t>
      </w:r>
      <w:r w:rsidRPr="00195184">
        <w:rPr>
          <w:rFonts w:asciiTheme="minorHAnsi" w:hAnsiTheme="minorHAnsi"/>
          <w:b/>
          <w:sz w:val="22"/>
        </w:rPr>
        <w:t xml:space="preserve"> are a mix of mainstreaming conduits</w:t>
      </w:r>
      <w:r w:rsidR="00E41B2B" w:rsidRPr="00195184">
        <w:rPr>
          <w:rFonts w:asciiTheme="minorHAnsi" w:hAnsiTheme="minorHAnsi"/>
          <w:b/>
          <w:sz w:val="22"/>
        </w:rPr>
        <w:t xml:space="preserve">.  </w:t>
      </w:r>
      <w:r w:rsidRPr="00195184">
        <w:rPr>
          <w:rFonts w:asciiTheme="minorHAnsi" w:hAnsiTheme="minorHAnsi"/>
          <w:sz w:val="22"/>
        </w:rPr>
        <w:t xml:space="preserve">The components comprise entry points that are </w:t>
      </w:r>
      <w:r w:rsidRPr="00195184">
        <w:rPr>
          <w:rFonts w:asciiTheme="minorHAnsi" w:hAnsiTheme="minorHAnsi"/>
          <w:sz w:val="22"/>
          <w:u w:val="single"/>
        </w:rPr>
        <w:t>drivers</w:t>
      </w:r>
      <w:r w:rsidRPr="00195184">
        <w:rPr>
          <w:rFonts w:asciiTheme="minorHAnsi" w:hAnsiTheme="minorHAnsi"/>
          <w:sz w:val="22"/>
        </w:rPr>
        <w:t xml:space="preserve"> of the mainstreaming process (e.g. a</w:t>
      </w:r>
      <w:r w:rsidR="00EA60D7" w:rsidRPr="00195184">
        <w:rPr>
          <w:rFonts w:asciiTheme="minorHAnsi" w:hAnsiTheme="minorHAnsi"/>
          <w:sz w:val="22"/>
        </w:rPr>
        <w:t>wareness</w:t>
      </w:r>
      <w:r w:rsidR="00330691" w:rsidRPr="00195184">
        <w:rPr>
          <w:rFonts w:asciiTheme="minorHAnsi" w:hAnsiTheme="minorHAnsi"/>
          <w:sz w:val="22"/>
        </w:rPr>
        <w:t xml:space="preserve"> raising</w:t>
      </w:r>
      <w:r w:rsidRPr="00195184">
        <w:rPr>
          <w:rFonts w:asciiTheme="minorHAnsi" w:hAnsiTheme="minorHAnsi"/>
          <w:sz w:val="22"/>
        </w:rPr>
        <w:t>)</w:t>
      </w:r>
      <w:r w:rsidR="007D09CC" w:rsidRPr="00195184">
        <w:rPr>
          <w:rFonts w:asciiTheme="minorHAnsi" w:hAnsiTheme="minorHAnsi"/>
          <w:sz w:val="22"/>
        </w:rPr>
        <w:t xml:space="preserve"> or </w:t>
      </w:r>
      <w:r w:rsidRPr="00195184">
        <w:rPr>
          <w:rFonts w:asciiTheme="minorHAnsi" w:hAnsiTheme="minorHAnsi"/>
          <w:sz w:val="22"/>
        </w:rPr>
        <w:t xml:space="preserve">are </w:t>
      </w:r>
      <w:r w:rsidR="003545A6" w:rsidRPr="00195184">
        <w:rPr>
          <w:rFonts w:asciiTheme="minorHAnsi" w:hAnsiTheme="minorHAnsi"/>
          <w:sz w:val="22"/>
          <w:u w:val="single"/>
        </w:rPr>
        <w:t>outputs</w:t>
      </w:r>
      <w:r w:rsidR="00572C4A" w:rsidRPr="00195184">
        <w:rPr>
          <w:rFonts w:asciiTheme="minorHAnsi" w:hAnsiTheme="minorHAnsi"/>
          <w:sz w:val="22"/>
          <w:u w:val="single"/>
        </w:rPr>
        <w:t xml:space="preserve"> or targets</w:t>
      </w:r>
      <w:r w:rsidR="00572C4A" w:rsidRPr="00195184">
        <w:rPr>
          <w:rFonts w:asciiTheme="minorHAnsi" w:hAnsiTheme="minorHAnsi"/>
          <w:sz w:val="22"/>
        </w:rPr>
        <w:t xml:space="preserve"> for</w:t>
      </w:r>
      <w:r w:rsidR="00957D27" w:rsidRPr="00195184">
        <w:rPr>
          <w:rFonts w:asciiTheme="minorHAnsi" w:hAnsiTheme="minorHAnsi"/>
          <w:sz w:val="22"/>
        </w:rPr>
        <w:t xml:space="preserve"> mainstreaming</w:t>
      </w:r>
      <w:r w:rsidR="003545A6" w:rsidRPr="00195184">
        <w:rPr>
          <w:rFonts w:asciiTheme="minorHAnsi" w:hAnsiTheme="minorHAnsi"/>
          <w:sz w:val="22"/>
        </w:rPr>
        <w:t xml:space="preserve"> (e.g. </w:t>
      </w:r>
      <w:r w:rsidR="00957D27" w:rsidRPr="00195184">
        <w:rPr>
          <w:rFonts w:asciiTheme="minorHAnsi" w:hAnsiTheme="minorHAnsi"/>
          <w:sz w:val="22"/>
        </w:rPr>
        <w:t>policies, plans</w:t>
      </w:r>
      <w:r w:rsidRPr="00195184">
        <w:rPr>
          <w:rFonts w:asciiTheme="minorHAnsi" w:hAnsiTheme="minorHAnsi"/>
          <w:sz w:val="22"/>
        </w:rPr>
        <w:t>,</w:t>
      </w:r>
      <w:r w:rsidR="00572C4A" w:rsidRPr="00195184">
        <w:rPr>
          <w:rFonts w:asciiTheme="minorHAnsi" w:hAnsiTheme="minorHAnsi"/>
          <w:sz w:val="22"/>
        </w:rPr>
        <w:t xml:space="preserve"> </w:t>
      </w:r>
      <w:r w:rsidR="007D1173" w:rsidRPr="00195184">
        <w:rPr>
          <w:rFonts w:asciiTheme="minorHAnsi" w:hAnsiTheme="minorHAnsi"/>
          <w:sz w:val="22"/>
        </w:rPr>
        <w:t>budge</w:t>
      </w:r>
      <w:r w:rsidR="00572C4A" w:rsidRPr="00195184">
        <w:rPr>
          <w:rFonts w:asciiTheme="minorHAnsi" w:hAnsiTheme="minorHAnsi"/>
          <w:sz w:val="22"/>
        </w:rPr>
        <w:t>ts</w:t>
      </w:r>
      <w:r w:rsidRPr="00195184">
        <w:rPr>
          <w:rFonts w:asciiTheme="minorHAnsi" w:hAnsiTheme="minorHAnsi"/>
          <w:sz w:val="22"/>
        </w:rPr>
        <w:t xml:space="preserve"> and projects</w:t>
      </w:r>
      <w:r w:rsidR="00B0122F" w:rsidRPr="00195184">
        <w:rPr>
          <w:rFonts w:asciiTheme="minorHAnsi" w:hAnsiTheme="minorHAnsi"/>
          <w:sz w:val="22"/>
        </w:rPr>
        <w:t>)</w:t>
      </w:r>
      <w:r w:rsidR="00EA60D7" w:rsidRPr="00195184">
        <w:rPr>
          <w:rFonts w:asciiTheme="minorHAnsi" w:hAnsiTheme="minorHAnsi"/>
          <w:sz w:val="22"/>
        </w:rPr>
        <w:t>.  Conversely</w:t>
      </w:r>
      <w:r w:rsidRPr="00195184">
        <w:rPr>
          <w:rFonts w:asciiTheme="minorHAnsi" w:hAnsiTheme="minorHAnsi"/>
          <w:sz w:val="22"/>
        </w:rPr>
        <w:t xml:space="preserve">, </w:t>
      </w:r>
      <w:r w:rsidR="00EA60D7" w:rsidRPr="00195184">
        <w:rPr>
          <w:rFonts w:asciiTheme="minorHAnsi" w:hAnsiTheme="minorHAnsi"/>
          <w:sz w:val="22"/>
        </w:rPr>
        <w:t>other entry points</w:t>
      </w:r>
      <w:r w:rsidRPr="00195184">
        <w:rPr>
          <w:rFonts w:asciiTheme="minorHAnsi" w:hAnsiTheme="minorHAnsi"/>
          <w:sz w:val="22"/>
        </w:rPr>
        <w:t xml:space="preserve"> support </w:t>
      </w:r>
      <w:r w:rsidRPr="00195184">
        <w:rPr>
          <w:rFonts w:asciiTheme="minorHAnsi" w:hAnsiTheme="minorHAnsi"/>
          <w:sz w:val="22"/>
          <w:u w:val="single"/>
        </w:rPr>
        <w:t>implementation</w:t>
      </w:r>
      <w:r w:rsidRPr="00195184">
        <w:rPr>
          <w:rFonts w:asciiTheme="minorHAnsi" w:hAnsiTheme="minorHAnsi"/>
          <w:sz w:val="22"/>
        </w:rPr>
        <w:t xml:space="preserve"> of these outputs, for example capacity</w:t>
      </w:r>
      <w:r w:rsidR="00C007E3" w:rsidRPr="00195184">
        <w:rPr>
          <w:rFonts w:asciiTheme="minorHAnsi" w:hAnsiTheme="minorHAnsi"/>
          <w:sz w:val="22"/>
        </w:rPr>
        <w:t>, finance</w:t>
      </w:r>
      <w:r w:rsidRPr="00195184">
        <w:rPr>
          <w:rFonts w:asciiTheme="minorHAnsi" w:hAnsiTheme="minorHAnsi"/>
          <w:sz w:val="22"/>
        </w:rPr>
        <w:t xml:space="preserve"> and partnerships. H</w:t>
      </w:r>
      <w:r w:rsidR="00C76812" w:rsidRPr="00195184">
        <w:rPr>
          <w:rFonts w:asciiTheme="minorHAnsi" w:hAnsiTheme="minorHAnsi"/>
          <w:sz w:val="22"/>
        </w:rPr>
        <w:t xml:space="preserve">owever, </w:t>
      </w:r>
      <w:r w:rsidR="00EA60D7" w:rsidRPr="00195184">
        <w:rPr>
          <w:rFonts w:asciiTheme="minorHAnsi" w:hAnsiTheme="minorHAnsi"/>
          <w:sz w:val="22"/>
        </w:rPr>
        <w:t xml:space="preserve">most commonly, strengthening an entry point will have multiple benefits for mainstreaming. </w:t>
      </w:r>
    </w:p>
    <w:p w14:paraId="024AA7E5" w14:textId="77777777" w:rsidR="00425650" w:rsidRPr="00425650" w:rsidRDefault="00425650" w:rsidP="00425650">
      <w:pPr>
        <w:pStyle w:val="ListParagraph"/>
        <w:rPr>
          <w:rFonts w:asciiTheme="minorHAnsi" w:hAnsiTheme="minorHAnsi"/>
          <w:sz w:val="22"/>
        </w:rPr>
      </w:pPr>
    </w:p>
    <w:p w14:paraId="3BB74E7B" w14:textId="3BEC7E37" w:rsidR="00425650" w:rsidRDefault="00681BE8" w:rsidP="00C86E69">
      <w:pPr>
        <w:pStyle w:val="ListParagraph"/>
        <w:numPr>
          <w:ilvl w:val="0"/>
          <w:numId w:val="5"/>
        </w:numPr>
        <w:jc w:val="both"/>
        <w:rPr>
          <w:rFonts w:asciiTheme="minorHAnsi" w:hAnsiTheme="minorHAnsi"/>
          <w:sz w:val="22"/>
        </w:rPr>
      </w:pPr>
      <w:r>
        <w:rPr>
          <w:rFonts w:asciiTheme="minorHAnsi" w:hAnsiTheme="minorHAnsi"/>
          <w:b/>
          <w:sz w:val="22"/>
        </w:rPr>
        <w:t xml:space="preserve">Progress will vary by component.  </w:t>
      </w:r>
      <w:r>
        <w:rPr>
          <w:rFonts w:asciiTheme="minorHAnsi" w:hAnsiTheme="minorHAnsi"/>
          <w:sz w:val="22"/>
        </w:rPr>
        <w:t xml:space="preserve">By </w:t>
      </w:r>
      <w:r w:rsidR="00F57044">
        <w:rPr>
          <w:rFonts w:asciiTheme="minorHAnsi" w:hAnsiTheme="minorHAnsi"/>
          <w:sz w:val="22"/>
        </w:rPr>
        <w:t>simultaneously</w:t>
      </w:r>
      <w:r>
        <w:rPr>
          <w:rFonts w:asciiTheme="minorHAnsi" w:hAnsiTheme="minorHAnsi"/>
          <w:sz w:val="22"/>
        </w:rPr>
        <w:t xml:space="preserve"> working on multiple </w:t>
      </w:r>
      <w:r w:rsidR="002460D6">
        <w:rPr>
          <w:rFonts w:asciiTheme="minorHAnsi" w:hAnsiTheme="minorHAnsi"/>
          <w:sz w:val="22"/>
        </w:rPr>
        <w:t xml:space="preserve">components, </w:t>
      </w:r>
      <w:r>
        <w:rPr>
          <w:rFonts w:asciiTheme="minorHAnsi" w:hAnsiTheme="minorHAnsi"/>
          <w:sz w:val="22"/>
        </w:rPr>
        <w:t xml:space="preserve">if progress on one component gets stalled (perhaps for political or economic </w:t>
      </w:r>
      <w:r w:rsidR="002460D6">
        <w:rPr>
          <w:rFonts w:asciiTheme="minorHAnsi" w:hAnsiTheme="minorHAnsi"/>
          <w:sz w:val="22"/>
        </w:rPr>
        <w:t>reasons</w:t>
      </w:r>
      <w:r>
        <w:rPr>
          <w:rFonts w:asciiTheme="minorHAnsi" w:hAnsiTheme="minorHAnsi"/>
          <w:sz w:val="22"/>
        </w:rPr>
        <w:t>), it does not pr</w:t>
      </w:r>
      <w:r w:rsidR="002460D6">
        <w:rPr>
          <w:rFonts w:asciiTheme="minorHAnsi" w:hAnsiTheme="minorHAnsi"/>
          <w:sz w:val="22"/>
        </w:rPr>
        <w:t>e</w:t>
      </w:r>
      <w:r>
        <w:rPr>
          <w:rFonts w:asciiTheme="minorHAnsi" w:hAnsiTheme="minorHAnsi"/>
          <w:sz w:val="22"/>
        </w:rPr>
        <w:t xml:space="preserve">clude ongoing work or re-visiting other components. </w:t>
      </w:r>
    </w:p>
    <w:p w14:paraId="7B0F2A41" w14:textId="77777777" w:rsidR="007D09CC" w:rsidRPr="007D09CC" w:rsidRDefault="007D09CC" w:rsidP="007D09CC">
      <w:pPr>
        <w:pStyle w:val="ListParagraph"/>
        <w:rPr>
          <w:rFonts w:asciiTheme="minorHAnsi" w:hAnsiTheme="minorHAnsi"/>
          <w:sz w:val="22"/>
        </w:rPr>
      </w:pPr>
    </w:p>
    <w:p w14:paraId="7AB2D98C" w14:textId="4B3723F6" w:rsidR="007D09CC" w:rsidRDefault="007D09CC" w:rsidP="00C86E69">
      <w:pPr>
        <w:pStyle w:val="ListParagraph"/>
        <w:numPr>
          <w:ilvl w:val="0"/>
          <w:numId w:val="5"/>
        </w:numPr>
        <w:jc w:val="both"/>
        <w:rPr>
          <w:rFonts w:asciiTheme="minorHAnsi" w:hAnsiTheme="minorHAnsi"/>
          <w:b/>
          <w:sz w:val="22"/>
        </w:rPr>
      </w:pPr>
      <w:r w:rsidRPr="007D09CC">
        <w:rPr>
          <w:rFonts w:asciiTheme="minorHAnsi" w:hAnsiTheme="minorHAnsi"/>
          <w:b/>
          <w:sz w:val="22"/>
        </w:rPr>
        <w:t>Entry points for mainstreaming</w:t>
      </w:r>
      <w:r>
        <w:rPr>
          <w:rFonts w:asciiTheme="minorHAnsi" w:hAnsiTheme="minorHAnsi"/>
          <w:b/>
          <w:sz w:val="22"/>
        </w:rPr>
        <w:t xml:space="preserve"> </w:t>
      </w:r>
      <w:r w:rsidR="00DE0DD2">
        <w:rPr>
          <w:rFonts w:asciiTheme="minorHAnsi" w:hAnsiTheme="minorHAnsi"/>
          <w:b/>
          <w:sz w:val="22"/>
        </w:rPr>
        <w:t xml:space="preserve">intervention </w:t>
      </w:r>
      <w:r>
        <w:rPr>
          <w:rFonts w:asciiTheme="minorHAnsi" w:hAnsiTheme="minorHAnsi"/>
          <w:b/>
          <w:sz w:val="22"/>
        </w:rPr>
        <w:t xml:space="preserve">comprise a range of </w:t>
      </w:r>
      <w:r w:rsidR="00DE0DD2">
        <w:rPr>
          <w:rFonts w:asciiTheme="minorHAnsi" w:hAnsiTheme="minorHAnsi"/>
          <w:b/>
          <w:sz w:val="22"/>
        </w:rPr>
        <w:t xml:space="preserve">related </w:t>
      </w:r>
      <w:r>
        <w:rPr>
          <w:rFonts w:asciiTheme="minorHAnsi" w:hAnsiTheme="minorHAnsi"/>
          <w:b/>
          <w:sz w:val="22"/>
        </w:rPr>
        <w:t>issues</w:t>
      </w:r>
      <w:r w:rsidR="006A5409">
        <w:rPr>
          <w:rFonts w:asciiTheme="minorHAnsi" w:hAnsiTheme="minorHAnsi"/>
          <w:b/>
          <w:sz w:val="22"/>
        </w:rPr>
        <w:t>.</w:t>
      </w:r>
      <w:r w:rsidR="00DE0DD2">
        <w:rPr>
          <w:rFonts w:asciiTheme="minorHAnsi" w:hAnsiTheme="minorHAnsi"/>
          <w:b/>
          <w:sz w:val="22"/>
        </w:rPr>
        <w:t xml:space="preserve"> </w:t>
      </w:r>
      <w:r w:rsidR="00DE0DD2">
        <w:rPr>
          <w:rFonts w:asciiTheme="minorHAnsi" w:hAnsiTheme="minorHAnsi"/>
          <w:sz w:val="22"/>
        </w:rPr>
        <w:t xml:space="preserve">(see </w:t>
      </w:r>
      <w:r w:rsidR="00DE0DD2">
        <w:rPr>
          <w:rFonts w:asciiTheme="minorHAnsi" w:hAnsiTheme="minorHAnsi"/>
          <w:i/>
          <w:sz w:val="22"/>
        </w:rPr>
        <w:t xml:space="preserve">Table 1). </w:t>
      </w:r>
      <w:r w:rsidR="006A5409">
        <w:rPr>
          <w:rFonts w:asciiTheme="minorHAnsi" w:hAnsiTheme="minorHAnsi"/>
          <w:sz w:val="22"/>
        </w:rPr>
        <w:t>The tool provides guidance on approaches to strengthen this entry point and support these related issues.</w:t>
      </w:r>
    </w:p>
    <w:p w14:paraId="40E9497C" w14:textId="77777777" w:rsidR="00B60B0C" w:rsidRDefault="00B60B0C" w:rsidP="00671994">
      <w:pPr>
        <w:rPr>
          <w:rFonts w:eastAsia="Calibri" w:cs="Times New Roman"/>
          <w:b/>
          <w:lang w:val="en-GB" w:bidi="ar-SA"/>
        </w:rPr>
      </w:pPr>
    </w:p>
    <w:p w14:paraId="51563EA0" w14:textId="09F0C99D" w:rsidR="00671994" w:rsidRPr="00671994" w:rsidRDefault="00671994" w:rsidP="00671994">
      <w:r>
        <w:rPr>
          <w:rFonts w:eastAsia="Calibri" w:cs="Times New Roman"/>
          <w:lang w:val="en-GB" w:bidi="ar-SA"/>
        </w:rPr>
        <w:t>The key issues to be considered under each sub-component are listed in the following table. The issues are not all encompassing and could be further expanded depending on the context.</w:t>
      </w:r>
      <w:r w:rsidR="00B37725">
        <w:rPr>
          <w:rFonts w:eastAsia="Calibri" w:cs="Times New Roman"/>
          <w:lang w:val="en-GB" w:bidi="ar-SA"/>
        </w:rPr>
        <w:t>e</w:t>
      </w:r>
    </w:p>
    <w:p w14:paraId="039A657E" w14:textId="77777777" w:rsidR="00B60B0C" w:rsidRPr="00C370CC" w:rsidRDefault="00B60B0C" w:rsidP="00B60B0C">
      <w:pPr>
        <w:rPr>
          <w:b/>
          <w:i/>
          <w:color w:val="833C0B" w:themeColor="accent2" w:themeShade="80"/>
        </w:rPr>
      </w:pPr>
      <w:r w:rsidRPr="00C370CC">
        <w:rPr>
          <w:b/>
          <w:i/>
          <w:color w:val="833C0B" w:themeColor="accent2" w:themeShade="80"/>
        </w:rPr>
        <w:t xml:space="preserve">Table 1: Mainstreaming components </w:t>
      </w:r>
    </w:p>
    <w:tbl>
      <w:tblPr>
        <w:tblStyle w:val="TableGrid"/>
        <w:tblW w:w="9918" w:type="dxa"/>
        <w:tblLook w:val="04A0" w:firstRow="1" w:lastRow="0" w:firstColumn="1" w:lastColumn="0" w:noHBand="0" w:noVBand="1"/>
      </w:tblPr>
      <w:tblGrid>
        <w:gridCol w:w="1838"/>
        <w:gridCol w:w="3402"/>
        <w:gridCol w:w="4678"/>
      </w:tblGrid>
      <w:tr w:rsidR="00B60B0C" w14:paraId="19182961" w14:textId="77777777" w:rsidTr="009439EC">
        <w:tc>
          <w:tcPr>
            <w:tcW w:w="1838" w:type="dxa"/>
            <w:shd w:val="clear" w:color="auto" w:fill="F2F2F2" w:themeFill="background1" w:themeFillShade="F2"/>
          </w:tcPr>
          <w:p w14:paraId="553433F7" w14:textId="77777777" w:rsidR="00B60B0C" w:rsidRPr="008D61BF" w:rsidRDefault="00B60B0C" w:rsidP="00701AF7">
            <w:pPr>
              <w:spacing w:line="276" w:lineRule="auto"/>
              <w:rPr>
                <w:b/>
              </w:rPr>
            </w:pPr>
            <w:r w:rsidRPr="008D61BF">
              <w:rPr>
                <w:b/>
              </w:rPr>
              <w:t>Component</w:t>
            </w:r>
          </w:p>
        </w:tc>
        <w:tc>
          <w:tcPr>
            <w:tcW w:w="3402" w:type="dxa"/>
            <w:shd w:val="clear" w:color="auto" w:fill="F2F2F2" w:themeFill="background1" w:themeFillShade="F2"/>
          </w:tcPr>
          <w:p w14:paraId="4EBA767A" w14:textId="5A9294F5" w:rsidR="00B60B0C" w:rsidRPr="005F24A6" w:rsidRDefault="00671994" w:rsidP="00701AF7">
            <w:pPr>
              <w:spacing w:line="276" w:lineRule="auto"/>
              <w:rPr>
                <w:b/>
                <w:highlight w:val="yellow"/>
              </w:rPr>
            </w:pPr>
            <w:r>
              <w:rPr>
                <w:b/>
              </w:rPr>
              <w:t>Sub-components</w:t>
            </w:r>
          </w:p>
        </w:tc>
        <w:tc>
          <w:tcPr>
            <w:tcW w:w="4678" w:type="dxa"/>
            <w:shd w:val="clear" w:color="auto" w:fill="F2F2F2" w:themeFill="background1" w:themeFillShade="F2"/>
          </w:tcPr>
          <w:p w14:paraId="626007CD" w14:textId="1EC0ECE0" w:rsidR="00B60B0C" w:rsidRDefault="00B60B0C" w:rsidP="00701AF7">
            <w:pPr>
              <w:spacing w:line="276" w:lineRule="auto"/>
              <w:jc w:val="both"/>
              <w:rPr>
                <w:i/>
              </w:rPr>
            </w:pPr>
            <w:r>
              <w:rPr>
                <w:b/>
                <w:color w:val="000000" w:themeColor="text1"/>
              </w:rPr>
              <w:t>Related Issues</w:t>
            </w:r>
            <w:r w:rsidR="007D09CC">
              <w:rPr>
                <w:b/>
                <w:color w:val="000000" w:themeColor="text1"/>
              </w:rPr>
              <w:t xml:space="preserve"> </w:t>
            </w:r>
          </w:p>
        </w:tc>
      </w:tr>
      <w:tr w:rsidR="00D42B94" w14:paraId="67EC8E8D" w14:textId="77777777" w:rsidTr="009439EC">
        <w:tc>
          <w:tcPr>
            <w:tcW w:w="1838" w:type="dxa"/>
            <w:vMerge w:val="restart"/>
            <w:shd w:val="clear" w:color="auto" w:fill="006666"/>
          </w:tcPr>
          <w:p w14:paraId="6AF92C86" w14:textId="1ADC5443" w:rsidR="00D42B94" w:rsidRPr="008D61BF" w:rsidRDefault="00D42B94" w:rsidP="00701AF7">
            <w:pPr>
              <w:spacing w:line="276" w:lineRule="auto"/>
              <w:rPr>
                <w:b/>
                <w:color w:val="FFFFFF" w:themeColor="background1"/>
              </w:rPr>
            </w:pPr>
            <w:r w:rsidRPr="008D61BF">
              <w:rPr>
                <w:b/>
                <w:color w:val="FFFFFF" w:themeColor="background1"/>
              </w:rPr>
              <w:t>KNOWLEDGE</w:t>
            </w:r>
          </w:p>
        </w:tc>
        <w:tc>
          <w:tcPr>
            <w:tcW w:w="3402" w:type="dxa"/>
            <w:shd w:val="clear" w:color="auto" w:fill="FFFFFF" w:themeFill="background1"/>
          </w:tcPr>
          <w:p w14:paraId="742E0B1C" w14:textId="62463E10" w:rsidR="00D42B94" w:rsidRDefault="00D42B94" w:rsidP="00701AF7">
            <w:pPr>
              <w:spacing w:line="276" w:lineRule="auto"/>
              <w:rPr>
                <w:b/>
                <w:color w:val="000000" w:themeColor="text1"/>
              </w:rPr>
            </w:pPr>
            <w:r>
              <w:rPr>
                <w:b/>
              </w:rPr>
              <w:t>Awareness &amp; education</w:t>
            </w:r>
          </w:p>
        </w:tc>
        <w:tc>
          <w:tcPr>
            <w:tcW w:w="4678" w:type="dxa"/>
          </w:tcPr>
          <w:p w14:paraId="256D29E2" w14:textId="3BC7DE61" w:rsidR="00D42B94" w:rsidRDefault="00D42B94" w:rsidP="00701AF7">
            <w:pPr>
              <w:spacing w:line="276" w:lineRule="auto"/>
              <w:jc w:val="both"/>
              <w:rPr>
                <w:sz w:val="20"/>
                <w:szCs w:val="20"/>
              </w:rPr>
            </w:pPr>
            <w:r>
              <w:rPr>
                <w:sz w:val="20"/>
                <w:szCs w:val="20"/>
              </w:rPr>
              <w:t>Advocacy &amp; awareness raising; school curriculum; professional education</w:t>
            </w:r>
          </w:p>
        </w:tc>
      </w:tr>
      <w:tr w:rsidR="00D42B94" w14:paraId="4DF6DF6B" w14:textId="77777777" w:rsidTr="009439EC">
        <w:tc>
          <w:tcPr>
            <w:tcW w:w="1838" w:type="dxa"/>
            <w:vMerge/>
            <w:shd w:val="clear" w:color="auto" w:fill="006666"/>
          </w:tcPr>
          <w:p w14:paraId="4EF822EA" w14:textId="35A876A4" w:rsidR="00D42B94" w:rsidRPr="00487664" w:rsidRDefault="00D42B94" w:rsidP="00701AF7">
            <w:pPr>
              <w:spacing w:line="276" w:lineRule="auto"/>
              <w:rPr>
                <w:b/>
                <w:color w:val="000000" w:themeColor="text1"/>
              </w:rPr>
            </w:pPr>
          </w:p>
        </w:tc>
        <w:tc>
          <w:tcPr>
            <w:tcW w:w="3402" w:type="dxa"/>
            <w:shd w:val="clear" w:color="auto" w:fill="FFFFFF" w:themeFill="background1"/>
          </w:tcPr>
          <w:p w14:paraId="20603916" w14:textId="77777777" w:rsidR="00D42B94" w:rsidRDefault="00D42B94" w:rsidP="00701AF7">
            <w:pPr>
              <w:spacing w:line="276" w:lineRule="auto"/>
              <w:rPr>
                <w:i/>
              </w:rPr>
            </w:pPr>
            <w:r>
              <w:rPr>
                <w:b/>
                <w:color w:val="000000" w:themeColor="text1"/>
              </w:rPr>
              <w:t>Research &amp; local knowledge</w:t>
            </w:r>
          </w:p>
        </w:tc>
        <w:tc>
          <w:tcPr>
            <w:tcW w:w="4678" w:type="dxa"/>
          </w:tcPr>
          <w:p w14:paraId="267ABECF" w14:textId="77777777" w:rsidR="00D42B94" w:rsidRPr="006B0F39" w:rsidRDefault="00D42B94" w:rsidP="00701AF7">
            <w:pPr>
              <w:spacing w:line="276" w:lineRule="auto"/>
              <w:jc w:val="both"/>
              <w:rPr>
                <w:sz w:val="20"/>
                <w:szCs w:val="20"/>
              </w:rPr>
            </w:pPr>
            <w:r>
              <w:rPr>
                <w:sz w:val="20"/>
                <w:szCs w:val="20"/>
              </w:rPr>
              <w:t>Scientific research &amp; technology; local knowledge; translation &amp; communication of technical knowledge; knowledge sharing platforms</w:t>
            </w:r>
          </w:p>
        </w:tc>
      </w:tr>
      <w:tr w:rsidR="00D42B94" w14:paraId="7AD3ECDF" w14:textId="77777777" w:rsidTr="009439EC">
        <w:tc>
          <w:tcPr>
            <w:tcW w:w="1838" w:type="dxa"/>
            <w:vMerge/>
            <w:shd w:val="clear" w:color="auto" w:fill="006666"/>
          </w:tcPr>
          <w:p w14:paraId="5BF7BD47" w14:textId="77777777" w:rsidR="00D42B94" w:rsidRDefault="00D42B94" w:rsidP="00701AF7">
            <w:pPr>
              <w:spacing w:line="276" w:lineRule="auto"/>
              <w:rPr>
                <w:b/>
              </w:rPr>
            </w:pPr>
          </w:p>
        </w:tc>
        <w:tc>
          <w:tcPr>
            <w:tcW w:w="3402" w:type="dxa"/>
            <w:shd w:val="clear" w:color="auto" w:fill="FFFFFF" w:themeFill="background1"/>
          </w:tcPr>
          <w:p w14:paraId="4A253AA3" w14:textId="77777777" w:rsidR="00D42B94" w:rsidRPr="00236F05" w:rsidRDefault="00D42B94" w:rsidP="00701AF7">
            <w:pPr>
              <w:spacing w:line="276" w:lineRule="auto"/>
              <w:rPr>
                <w:i/>
              </w:rPr>
            </w:pPr>
            <w:r>
              <w:rPr>
                <w:b/>
              </w:rPr>
              <w:t>M &amp; E, compliance &amp; reporting</w:t>
            </w:r>
          </w:p>
        </w:tc>
        <w:tc>
          <w:tcPr>
            <w:tcW w:w="4678" w:type="dxa"/>
          </w:tcPr>
          <w:p w14:paraId="114763FF" w14:textId="1D5E663F" w:rsidR="00D42B94" w:rsidRPr="009F43D1" w:rsidRDefault="006A5409" w:rsidP="00701AF7">
            <w:pPr>
              <w:spacing w:line="276" w:lineRule="auto"/>
              <w:jc w:val="both"/>
              <w:rPr>
                <w:sz w:val="20"/>
                <w:szCs w:val="20"/>
              </w:rPr>
            </w:pPr>
            <w:r>
              <w:rPr>
                <w:sz w:val="20"/>
                <w:szCs w:val="20"/>
              </w:rPr>
              <w:t>Enforcement, quality control</w:t>
            </w:r>
            <w:r w:rsidR="00195184">
              <w:rPr>
                <w:sz w:val="20"/>
                <w:szCs w:val="20"/>
              </w:rPr>
              <w:t>, compliance, reporting, monitoring, evaluation</w:t>
            </w:r>
          </w:p>
        </w:tc>
      </w:tr>
      <w:tr w:rsidR="00D42B94" w14:paraId="758E015D" w14:textId="77777777" w:rsidTr="009439EC">
        <w:tc>
          <w:tcPr>
            <w:tcW w:w="1838" w:type="dxa"/>
            <w:vMerge/>
            <w:shd w:val="clear" w:color="auto" w:fill="006666"/>
          </w:tcPr>
          <w:p w14:paraId="2F3332E7" w14:textId="77777777" w:rsidR="00D42B94" w:rsidRDefault="00D42B94" w:rsidP="00701AF7">
            <w:pPr>
              <w:spacing w:line="276" w:lineRule="auto"/>
              <w:rPr>
                <w:b/>
              </w:rPr>
            </w:pPr>
          </w:p>
        </w:tc>
        <w:tc>
          <w:tcPr>
            <w:tcW w:w="3402" w:type="dxa"/>
            <w:shd w:val="clear" w:color="auto" w:fill="FFFFFF" w:themeFill="background1"/>
          </w:tcPr>
          <w:p w14:paraId="5A34A68D" w14:textId="77777777" w:rsidR="00D42B94" w:rsidRDefault="00D42B94" w:rsidP="00701AF7">
            <w:pPr>
              <w:spacing w:line="276" w:lineRule="auto"/>
              <w:rPr>
                <w:i/>
              </w:rPr>
            </w:pPr>
            <w:r>
              <w:rPr>
                <w:b/>
              </w:rPr>
              <w:t>Assessment &amp; analysis</w:t>
            </w:r>
          </w:p>
        </w:tc>
        <w:tc>
          <w:tcPr>
            <w:tcW w:w="4678" w:type="dxa"/>
          </w:tcPr>
          <w:p w14:paraId="0FEC4133" w14:textId="42EAFD6F" w:rsidR="00D42B94" w:rsidRPr="004F2E20" w:rsidRDefault="00D42B94" w:rsidP="00701AF7">
            <w:pPr>
              <w:spacing w:line="276" w:lineRule="auto"/>
              <w:jc w:val="both"/>
              <w:rPr>
                <w:i/>
                <w:sz w:val="20"/>
                <w:szCs w:val="20"/>
              </w:rPr>
            </w:pPr>
            <w:r>
              <w:rPr>
                <w:sz w:val="20"/>
                <w:szCs w:val="20"/>
              </w:rPr>
              <w:t xml:space="preserve">Risk assessment &amp; analysis; </w:t>
            </w:r>
            <w:r w:rsidR="006A5409">
              <w:rPr>
                <w:sz w:val="20"/>
                <w:szCs w:val="20"/>
              </w:rPr>
              <w:t>risk tools</w:t>
            </w:r>
          </w:p>
        </w:tc>
      </w:tr>
      <w:tr w:rsidR="00D42B94" w14:paraId="235DF54B" w14:textId="77777777" w:rsidTr="009439EC">
        <w:tc>
          <w:tcPr>
            <w:tcW w:w="1838" w:type="dxa"/>
            <w:vMerge w:val="restart"/>
            <w:shd w:val="clear" w:color="auto" w:fill="4472C4"/>
          </w:tcPr>
          <w:p w14:paraId="63D743B2" w14:textId="77777777" w:rsidR="00D42B94" w:rsidRPr="00257D3A" w:rsidRDefault="00D42B94" w:rsidP="00701AF7">
            <w:pPr>
              <w:spacing w:line="276" w:lineRule="auto"/>
              <w:rPr>
                <w:b/>
              </w:rPr>
            </w:pPr>
            <w:r w:rsidRPr="008D61BF">
              <w:rPr>
                <w:b/>
                <w:color w:val="FFFFFF" w:themeColor="background1"/>
              </w:rPr>
              <w:t>POLICY</w:t>
            </w:r>
          </w:p>
        </w:tc>
        <w:tc>
          <w:tcPr>
            <w:tcW w:w="3402" w:type="dxa"/>
          </w:tcPr>
          <w:p w14:paraId="544CE7B1" w14:textId="77777777" w:rsidR="00D42B94" w:rsidRDefault="00D42B94" w:rsidP="00701AF7">
            <w:pPr>
              <w:spacing w:line="276" w:lineRule="auto"/>
              <w:rPr>
                <w:i/>
              </w:rPr>
            </w:pPr>
            <w:r w:rsidRPr="00257D3A">
              <w:rPr>
                <w:b/>
              </w:rPr>
              <w:t>Leadership</w:t>
            </w:r>
            <w:r>
              <w:rPr>
                <w:b/>
              </w:rPr>
              <w:t xml:space="preserve"> &amp; commitment</w:t>
            </w:r>
          </w:p>
        </w:tc>
        <w:tc>
          <w:tcPr>
            <w:tcW w:w="4678" w:type="dxa"/>
          </w:tcPr>
          <w:p w14:paraId="25615DF3" w14:textId="77777777" w:rsidR="00D42B94" w:rsidRPr="009C1D2C" w:rsidRDefault="00D42B94" w:rsidP="00701AF7">
            <w:pPr>
              <w:spacing w:line="276" w:lineRule="auto"/>
              <w:jc w:val="both"/>
              <w:rPr>
                <w:sz w:val="20"/>
                <w:szCs w:val="20"/>
              </w:rPr>
            </w:pPr>
            <w:r>
              <w:rPr>
                <w:sz w:val="20"/>
                <w:szCs w:val="20"/>
              </w:rPr>
              <w:t>Ownership; political will; prioritisation; champions, community leadership</w:t>
            </w:r>
          </w:p>
        </w:tc>
      </w:tr>
      <w:tr w:rsidR="00D42B94" w14:paraId="1E588F00" w14:textId="77777777" w:rsidTr="009439EC">
        <w:tc>
          <w:tcPr>
            <w:tcW w:w="1838" w:type="dxa"/>
            <w:vMerge/>
            <w:shd w:val="clear" w:color="auto" w:fill="4472C4"/>
          </w:tcPr>
          <w:p w14:paraId="6697F2B2" w14:textId="77777777" w:rsidR="00D42B94" w:rsidRDefault="00D42B94" w:rsidP="00701AF7">
            <w:pPr>
              <w:spacing w:line="276" w:lineRule="auto"/>
              <w:rPr>
                <w:b/>
              </w:rPr>
            </w:pPr>
          </w:p>
        </w:tc>
        <w:tc>
          <w:tcPr>
            <w:tcW w:w="3402" w:type="dxa"/>
          </w:tcPr>
          <w:p w14:paraId="6E467632" w14:textId="77777777" w:rsidR="00D42B94" w:rsidRDefault="00D42B94" w:rsidP="00701AF7">
            <w:pPr>
              <w:spacing w:line="276" w:lineRule="auto"/>
              <w:rPr>
                <w:i/>
              </w:rPr>
            </w:pPr>
            <w:r>
              <w:rPr>
                <w:b/>
              </w:rPr>
              <w:t>Legislation &amp; regulation</w:t>
            </w:r>
          </w:p>
        </w:tc>
        <w:tc>
          <w:tcPr>
            <w:tcW w:w="4678" w:type="dxa"/>
          </w:tcPr>
          <w:p w14:paraId="20314CB5" w14:textId="48E38DAD" w:rsidR="00D42B94" w:rsidRPr="006A5409" w:rsidRDefault="00195184" w:rsidP="00701AF7">
            <w:pPr>
              <w:spacing w:line="276" w:lineRule="auto"/>
              <w:jc w:val="both"/>
              <w:rPr>
                <w:sz w:val="20"/>
                <w:szCs w:val="20"/>
              </w:rPr>
            </w:pPr>
            <w:r>
              <w:rPr>
                <w:sz w:val="20"/>
                <w:szCs w:val="20"/>
              </w:rPr>
              <w:t>Laws, c</w:t>
            </w:r>
            <w:r w:rsidR="006A5409">
              <w:rPr>
                <w:sz w:val="20"/>
                <w:szCs w:val="20"/>
              </w:rPr>
              <w:t xml:space="preserve">odes, </w:t>
            </w:r>
            <w:r>
              <w:rPr>
                <w:sz w:val="20"/>
                <w:szCs w:val="20"/>
              </w:rPr>
              <w:t xml:space="preserve">regulations,  custom law, </w:t>
            </w:r>
            <w:r w:rsidR="006A5409">
              <w:rPr>
                <w:sz w:val="20"/>
                <w:szCs w:val="20"/>
              </w:rPr>
              <w:t>enforcement,</w:t>
            </w:r>
            <w:r>
              <w:rPr>
                <w:sz w:val="20"/>
                <w:szCs w:val="20"/>
              </w:rPr>
              <w:t xml:space="preserve"> incentives</w:t>
            </w:r>
            <w:r w:rsidR="006A5409">
              <w:rPr>
                <w:sz w:val="20"/>
                <w:szCs w:val="20"/>
              </w:rPr>
              <w:t xml:space="preserve"> </w:t>
            </w:r>
          </w:p>
        </w:tc>
      </w:tr>
      <w:tr w:rsidR="00D42B94" w14:paraId="028C8F53" w14:textId="77777777" w:rsidTr="009439EC">
        <w:tc>
          <w:tcPr>
            <w:tcW w:w="1838" w:type="dxa"/>
            <w:vMerge/>
            <w:shd w:val="clear" w:color="auto" w:fill="4472C4"/>
          </w:tcPr>
          <w:p w14:paraId="4672C545" w14:textId="77777777" w:rsidR="00D42B94" w:rsidRDefault="00D42B94" w:rsidP="00701AF7">
            <w:pPr>
              <w:spacing w:line="276" w:lineRule="auto"/>
              <w:rPr>
                <w:b/>
              </w:rPr>
            </w:pPr>
          </w:p>
        </w:tc>
        <w:tc>
          <w:tcPr>
            <w:tcW w:w="3402" w:type="dxa"/>
          </w:tcPr>
          <w:p w14:paraId="3C06D2D7" w14:textId="77777777" w:rsidR="00D42B94" w:rsidRDefault="00D42B94" w:rsidP="00701AF7">
            <w:pPr>
              <w:spacing w:line="276" w:lineRule="auto"/>
              <w:rPr>
                <w:i/>
              </w:rPr>
            </w:pPr>
            <w:r>
              <w:rPr>
                <w:b/>
              </w:rPr>
              <w:t>Policies, strategy &amp; planning</w:t>
            </w:r>
          </w:p>
        </w:tc>
        <w:tc>
          <w:tcPr>
            <w:tcW w:w="4678" w:type="dxa"/>
          </w:tcPr>
          <w:p w14:paraId="6CD355B9" w14:textId="466CADEB" w:rsidR="00D42B94" w:rsidRPr="009C1D2C" w:rsidRDefault="00D42B94" w:rsidP="00701AF7">
            <w:pPr>
              <w:spacing w:line="276" w:lineRule="auto"/>
              <w:jc w:val="both"/>
              <w:rPr>
                <w:i/>
                <w:sz w:val="20"/>
                <w:szCs w:val="20"/>
              </w:rPr>
            </w:pPr>
            <w:r>
              <w:rPr>
                <w:sz w:val="20"/>
                <w:szCs w:val="20"/>
              </w:rPr>
              <w:t xml:space="preserve">Global policy commitments; </w:t>
            </w:r>
            <w:r w:rsidR="00195184">
              <w:rPr>
                <w:sz w:val="20"/>
                <w:szCs w:val="20"/>
              </w:rPr>
              <w:t>national &amp; sub-national policy framework</w:t>
            </w:r>
            <w:r w:rsidR="00701AF7">
              <w:rPr>
                <w:sz w:val="20"/>
                <w:szCs w:val="20"/>
              </w:rPr>
              <w:t>s</w:t>
            </w:r>
            <w:r w:rsidR="00195184">
              <w:rPr>
                <w:sz w:val="20"/>
                <w:szCs w:val="20"/>
              </w:rPr>
              <w:t xml:space="preserve">; national and sectoral </w:t>
            </w:r>
            <w:r w:rsidR="00701AF7">
              <w:rPr>
                <w:sz w:val="20"/>
                <w:szCs w:val="20"/>
              </w:rPr>
              <w:t xml:space="preserve">development and DRR/CCA </w:t>
            </w:r>
            <w:r w:rsidR="00195184">
              <w:rPr>
                <w:sz w:val="20"/>
                <w:szCs w:val="20"/>
              </w:rPr>
              <w:t xml:space="preserve">strategies and plans; </w:t>
            </w:r>
            <w:r>
              <w:rPr>
                <w:sz w:val="20"/>
                <w:szCs w:val="20"/>
              </w:rPr>
              <w:t>“bottom-up/top-down” planning</w:t>
            </w:r>
          </w:p>
        </w:tc>
      </w:tr>
      <w:tr w:rsidR="00D42B94" w14:paraId="013D29F1" w14:textId="77777777" w:rsidTr="009439EC">
        <w:tc>
          <w:tcPr>
            <w:tcW w:w="1838" w:type="dxa"/>
            <w:vMerge/>
            <w:shd w:val="clear" w:color="auto" w:fill="4472C4"/>
          </w:tcPr>
          <w:p w14:paraId="65631308" w14:textId="77777777" w:rsidR="00D42B94" w:rsidRDefault="00D42B94" w:rsidP="00701AF7">
            <w:pPr>
              <w:spacing w:line="276" w:lineRule="auto"/>
              <w:rPr>
                <w:b/>
              </w:rPr>
            </w:pPr>
          </w:p>
        </w:tc>
        <w:tc>
          <w:tcPr>
            <w:tcW w:w="3402" w:type="dxa"/>
          </w:tcPr>
          <w:p w14:paraId="24DDF65F" w14:textId="77777777" w:rsidR="00D42B94" w:rsidRDefault="00D42B94" w:rsidP="00701AF7">
            <w:pPr>
              <w:spacing w:line="276" w:lineRule="auto"/>
              <w:rPr>
                <w:b/>
              </w:rPr>
            </w:pPr>
            <w:r>
              <w:rPr>
                <w:b/>
              </w:rPr>
              <w:t>Standards</w:t>
            </w:r>
          </w:p>
          <w:p w14:paraId="72416A88" w14:textId="77777777" w:rsidR="00D42B94" w:rsidRDefault="00D42B94" w:rsidP="00701AF7">
            <w:pPr>
              <w:spacing w:line="276" w:lineRule="auto"/>
              <w:rPr>
                <w:b/>
              </w:rPr>
            </w:pPr>
          </w:p>
        </w:tc>
        <w:tc>
          <w:tcPr>
            <w:tcW w:w="4678" w:type="dxa"/>
          </w:tcPr>
          <w:p w14:paraId="52A0E34F" w14:textId="4CDAD364" w:rsidR="00D42B94" w:rsidRPr="009C1D2C" w:rsidRDefault="00741EFD" w:rsidP="00701AF7">
            <w:pPr>
              <w:spacing w:line="276" w:lineRule="auto"/>
              <w:jc w:val="both"/>
              <w:rPr>
                <w:sz w:val="20"/>
                <w:szCs w:val="20"/>
              </w:rPr>
            </w:pPr>
            <w:r>
              <w:rPr>
                <w:sz w:val="20"/>
                <w:szCs w:val="20"/>
              </w:rPr>
              <w:t xml:space="preserve">ISO </w:t>
            </w:r>
            <w:r w:rsidR="005563A8">
              <w:rPr>
                <w:sz w:val="20"/>
                <w:szCs w:val="20"/>
              </w:rPr>
              <w:t>standards, or</w:t>
            </w:r>
            <w:r>
              <w:rPr>
                <w:sz w:val="20"/>
                <w:szCs w:val="20"/>
              </w:rPr>
              <w:t xml:space="preserve"> technical standards of professional associations</w:t>
            </w:r>
            <w:r w:rsidR="005563A8">
              <w:rPr>
                <w:sz w:val="20"/>
                <w:szCs w:val="20"/>
              </w:rPr>
              <w:t xml:space="preserve"> (i.e. architects</w:t>
            </w:r>
            <w:r w:rsidR="00701AF7">
              <w:rPr>
                <w:sz w:val="20"/>
                <w:szCs w:val="20"/>
              </w:rPr>
              <w:t>, builders</w:t>
            </w:r>
            <w:r w:rsidR="004B6C7C">
              <w:rPr>
                <w:sz w:val="20"/>
                <w:szCs w:val="20"/>
              </w:rPr>
              <w:t xml:space="preserve"> or engineers etc.</w:t>
            </w:r>
            <w:r w:rsidR="005563A8">
              <w:rPr>
                <w:sz w:val="20"/>
                <w:szCs w:val="20"/>
              </w:rPr>
              <w:t>)</w:t>
            </w:r>
            <w:r w:rsidR="004B6C7C">
              <w:rPr>
                <w:sz w:val="20"/>
                <w:szCs w:val="20"/>
              </w:rPr>
              <w:t>; Sendai minimum standards</w:t>
            </w:r>
          </w:p>
        </w:tc>
      </w:tr>
      <w:tr w:rsidR="00D42B94" w14:paraId="1CF2F3BC" w14:textId="77777777" w:rsidTr="009439EC">
        <w:tc>
          <w:tcPr>
            <w:tcW w:w="1838" w:type="dxa"/>
            <w:vMerge w:val="restart"/>
            <w:shd w:val="clear" w:color="auto" w:fill="660066"/>
          </w:tcPr>
          <w:p w14:paraId="227EA6AB" w14:textId="77777777" w:rsidR="00D42B94" w:rsidRDefault="00D42B94" w:rsidP="00701AF7">
            <w:pPr>
              <w:spacing w:line="276" w:lineRule="auto"/>
              <w:rPr>
                <w:b/>
              </w:rPr>
            </w:pPr>
          </w:p>
          <w:p w14:paraId="6FCCB6BA" w14:textId="77777777" w:rsidR="00D42B94" w:rsidRDefault="00D42B94" w:rsidP="00701AF7">
            <w:pPr>
              <w:spacing w:line="276" w:lineRule="auto"/>
              <w:rPr>
                <w:b/>
              </w:rPr>
            </w:pPr>
            <w:r>
              <w:rPr>
                <w:b/>
              </w:rPr>
              <w:t>FINANCE</w:t>
            </w:r>
          </w:p>
          <w:p w14:paraId="1B8AE34A" w14:textId="77777777" w:rsidR="00D42B94" w:rsidRDefault="00D42B94" w:rsidP="00701AF7">
            <w:pPr>
              <w:spacing w:line="276" w:lineRule="auto"/>
              <w:rPr>
                <w:b/>
              </w:rPr>
            </w:pPr>
          </w:p>
          <w:p w14:paraId="3A3E445B" w14:textId="77777777" w:rsidR="00D42B94" w:rsidRDefault="00D42B94" w:rsidP="00701AF7">
            <w:pPr>
              <w:spacing w:line="276" w:lineRule="auto"/>
              <w:rPr>
                <w:b/>
              </w:rPr>
            </w:pPr>
          </w:p>
          <w:p w14:paraId="01D132ED" w14:textId="77777777" w:rsidR="00D42B94" w:rsidRDefault="00D42B94" w:rsidP="00701AF7">
            <w:pPr>
              <w:spacing w:line="276" w:lineRule="auto"/>
              <w:rPr>
                <w:b/>
              </w:rPr>
            </w:pPr>
          </w:p>
          <w:p w14:paraId="519B55BC" w14:textId="77777777" w:rsidR="00D42B94" w:rsidRDefault="00D42B94" w:rsidP="00701AF7">
            <w:pPr>
              <w:spacing w:line="276" w:lineRule="auto"/>
              <w:rPr>
                <w:b/>
              </w:rPr>
            </w:pPr>
          </w:p>
        </w:tc>
        <w:tc>
          <w:tcPr>
            <w:tcW w:w="3402" w:type="dxa"/>
          </w:tcPr>
          <w:p w14:paraId="4F34EA82" w14:textId="77777777" w:rsidR="00D42B94" w:rsidRPr="00121FB8" w:rsidRDefault="00D42B94" w:rsidP="00701AF7">
            <w:pPr>
              <w:spacing w:line="276" w:lineRule="auto"/>
              <w:rPr>
                <w:b/>
              </w:rPr>
            </w:pPr>
            <w:r>
              <w:rPr>
                <w:b/>
              </w:rPr>
              <w:t>Budgeting &amp; expenditure analysis</w:t>
            </w:r>
          </w:p>
        </w:tc>
        <w:tc>
          <w:tcPr>
            <w:tcW w:w="4678" w:type="dxa"/>
          </w:tcPr>
          <w:p w14:paraId="3C156C92" w14:textId="2B466CDE" w:rsidR="00D42B94" w:rsidRDefault="00701AF7" w:rsidP="00701AF7">
            <w:pPr>
              <w:spacing w:line="276" w:lineRule="auto"/>
              <w:jc w:val="both"/>
              <w:rPr>
                <w:sz w:val="20"/>
                <w:szCs w:val="20"/>
              </w:rPr>
            </w:pPr>
            <w:r>
              <w:rPr>
                <w:sz w:val="20"/>
                <w:szCs w:val="20"/>
              </w:rPr>
              <w:t>S</w:t>
            </w:r>
            <w:r w:rsidR="00D42B94">
              <w:rPr>
                <w:sz w:val="20"/>
                <w:szCs w:val="20"/>
              </w:rPr>
              <w:t>ustained financing</w:t>
            </w:r>
            <w:r>
              <w:rPr>
                <w:sz w:val="20"/>
                <w:szCs w:val="20"/>
              </w:rPr>
              <w:t xml:space="preserve"> or</w:t>
            </w:r>
            <w:r w:rsidR="00D42B94">
              <w:rPr>
                <w:sz w:val="20"/>
                <w:szCs w:val="20"/>
              </w:rPr>
              <w:t xml:space="preserve"> budget allocations</w:t>
            </w:r>
            <w:r>
              <w:rPr>
                <w:sz w:val="20"/>
                <w:szCs w:val="20"/>
              </w:rPr>
              <w:t xml:space="preserve"> for DRR/CCA</w:t>
            </w:r>
            <w:r w:rsidR="00D42B94">
              <w:rPr>
                <w:sz w:val="20"/>
                <w:szCs w:val="20"/>
              </w:rPr>
              <w:t>; public fina</w:t>
            </w:r>
            <w:r>
              <w:rPr>
                <w:sz w:val="20"/>
                <w:szCs w:val="20"/>
              </w:rPr>
              <w:t xml:space="preserve">ncial management; public </w:t>
            </w:r>
            <w:r w:rsidR="00D42B94">
              <w:rPr>
                <w:sz w:val="20"/>
                <w:szCs w:val="20"/>
              </w:rPr>
              <w:t>expenditure</w:t>
            </w:r>
            <w:r>
              <w:rPr>
                <w:sz w:val="20"/>
                <w:szCs w:val="20"/>
              </w:rPr>
              <w:t xml:space="preserve"> reviews</w:t>
            </w:r>
            <w:r w:rsidR="00F474DC">
              <w:rPr>
                <w:sz w:val="20"/>
                <w:szCs w:val="20"/>
              </w:rPr>
              <w:t>; economic impact assessment</w:t>
            </w:r>
          </w:p>
        </w:tc>
      </w:tr>
      <w:tr w:rsidR="00D42B94" w14:paraId="52410E0A" w14:textId="77777777" w:rsidTr="009439EC">
        <w:tc>
          <w:tcPr>
            <w:tcW w:w="1838" w:type="dxa"/>
            <w:vMerge/>
            <w:shd w:val="clear" w:color="auto" w:fill="660066"/>
          </w:tcPr>
          <w:p w14:paraId="2F7D2CD8" w14:textId="77777777" w:rsidR="00D42B94" w:rsidRDefault="00D42B94" w:rsidP="00701AF7">
            <w:pPr>
              <w:spacing w:line="276" w:lineRule="auto"/>
              <w:rPr>
                <w:b/>
              </w:rPr>
            </w:pPr>
          </w:p>
        </w:tc>
        <w:tc>
          <w:tcPr>
            <w:tcW w:w="3402" w:type="dxa"/>
          </w:tcPr>
          <w:p w14:paraId="702E2120" w14:textId="77777777" w:rsidR="00D42B94" w:rsidRDefault="00D42B94" w:rsidP="00701AF7">
            <w:pPr>
              <w:spacing w:line="276" w:lineRule="auto"/>
              <w:rPr>
                <w:b/>
              </w:rPr>
            </w:pPr>
            <w:r w:rsidRPr="00121FB8">
              <w:rPr>
                <w:b/>
              </w:rPr>
              <w:t xml:space="preserve">Resource </w:t>
            </w:r>
            <w:r>
              <w:rPr>
                <w:b/>
              </w:rPr>
              <w:t>mobilisation</w:t>
            </w:r>
          </w:p>
        </w:tc>
        <w:tc>
          <w:tcPr>
            <w:tcW w:w="4678" w:type="dxa"/>
          </w:tcPr>
          <w:p w14:paraId="34B9AD7B" w14:textId="560E8294" w:rsidR="00D42B94" w:rsidRDefault="00D42B94" w:rsidP="00701AF7">
            <w:pPr>
              <w:spacing w:line="276" w:lineRule="auto"/>
              <w:jc w:val="both"/>
              <w:rPr>
                <w:sz w:val="20"/>
                <w:szCs w:val="20"/>
              </w:rPr>
            </w:pPr>
            <w:r>
              <w:rPr>
                <w:sz w:val="20"/>
                <w:szCs w:val="20"/>
              </w:rPr>
              <w:t>Funding opportunities; climate finance; avoiding duplication; effective use</w:t>
            </w:r>
            <w:r w:rsidR="004B6C7C">
              <w:rPr>
                <w:sz w:val="20"/>
                <w:szCs w:val="20"/>
              </w:rPr>
              <w:t>; cost-sharing; private sector resources</w:t>
            </w:r>
            <w:r w:rsidR="00380DB3">
              <w:rPr>
                <w:sz w:val="20"/>
                <w:szCs w:val="20"/>
              </w:rPr>
              <w:t xml:space="preserve">; taxation </w:t>
            </w:r>
          </w:p>
        </w:tc>
      </w:tr>
      <w:tr w:rsidR="00D42B94" w14:paraId="4462DB28" w14:textId="77777777" w:rsidTr="009439EC">
        <w:tc>
          <w:tcPr>
            <w:tcW w:w="1838" w:type="dxa"/>
            <w:vMerge/>
            <w:shd w:val="clear" w:color="auto" w:fill="660066"/>
          </w:tcPr>
          <w:p w14:paraId="24C484FA" w14:textId="77777777" w:rsidR="00D42B94" w:rsidRDefault="00D42B94" w:rsidP="00701AF7">
            <w:pPr>
              <w:spacing w:line="276" w:lineRule="auto"/>
              <w:rPr>
                <w:b/>
              </w:rPr>
            </w:pPr>
          </w:p>
        </w:tc>
        <w:tc>
          <w:tcPr>
            <w:tcW w:w="3402" w:type="dxa"/>
          </w:tcPr>
          <w:p w14:paraId="222E4184" w14:textId="06696268" w:rsidR="00D42B94" w:rsidRPr="009F43D1" w:rsidRDefault="004B6C7C" w:rsidP="004B6C7C">
            <w:pPr>
              <w:spacing w:line="276" w:lineRule="auto"/>
              <w:rPr>
                <w:i/>
              </w:rPr>
            </w:pPr>
            <w:r>
              <w:rPr>
                <w:b/>
              </w:rPr>
              <w:t xml:space="preserve">Risk- informed </w:t>
            </w:r>
            <w:r w:rsidR="00D42B94">
              <w:rPr>
                <w:b/>
              </w:rPr>
              <w:t>investment</w:t>
            </w:r>
            <w:r>
              <w:rPr>
                <w:b/>
              </w:rPr>
              <w:t>s</w:t>
            </w:r>
          </w:p>
        </w:tc>
        <w:tc>
          <w:tcPr>
            <w:tcW w:w="4678" w:type="dxa"/>
          </w:tcPr>
          <w:p w14:paraId="63941E7F" w14:textId="6E483262" w:rsidR="00D42B94" w:rsidRPr="004F2E20" w:rsidRDefault="004B6C7C" w:rsidP="004B6C7C">
            <w:pPr>
              <w:spacing w:line="276" w:lineRule="auto"/>
              <w:jc w:val="both"/>
              <w:rPr>
                <w:sz w:val="20"/>
                <w:szCs w:val="20"/>
              </w:rPr>
            </w:pPr>
            <w:r>
              <w:rPr>
                <w:sz w:val="20"/>
                <w:szCs w:val="20"/>
              </w:rPr>
              <w:t xml:space="preserve">Cost-benefit analysis; </w:t>
            </w:r>
            <w:r w:rsidR="004F2E20">
              <w:rPr>
                <w:sz w:val="20"/>
                <w:szCs w:val="20"/>
              </w:rPr>
              <w:t>screening and appraisal</w:t>
            </w:r>
            <w:r>
              <w:rPr>
                <w:sz w:val="20"/>
                <w:szCs w:val="20"/>
              </w:rPr>
              <w:t>; public and private sector investments; business continuity</w:t>
            </w:r>
          </w:p>
        </w:tc>
      </w:tr>
      <w:tr w:rsidR="00D42B94" w14:paraId="03D99781" w14:textId="77777777" w:rsidTr="009439EC">
        <w:tc>
          <w:tcPr>
            <w:tcW w:w="1838" w:type="dxa"/>
            <w:vMerge/>
            <w:shd w:val="clear" w:color="auto" w:fill="660066"/>
          </w:tcPr>
          <w:p w14:paraId="1F7E7263" w14:textId="77777777" w:rsidR="00D42B94" w:rsidRDefault="00D42B94" w:rsidP="00701AF7">
            <w:pPr>
              <w:spacing w:line="276" w:lineRule="auto"/>
              <w:rPr>
                <w:b/>
              </w:rPr>
            </w:pPr>
          </w:p>
        </w:tc>
        <w:tc>
          <w:tcPr>
            <w:tcW w:w="3402" w:type="dxa"/>
          </w:tcPr>
          <w:p w14:paraId="50F7062C" w14:textId="77777777" w:rsidR="00D42B94" w:rsidRDefault="00D42B94" w:rsidP="00701AF7">
            <w:pPr>
              <w:spacing w:line="276" w:lineRule="auto"/>
              <w:rPr>
                <w:b/>
              </w:rPr>
            </w:pPr>
            <w:r>
              <w:rPr>
                <w:b/>
              </w:rPr>
              <w:t>Risk financing &amp; transfers</w:t>
            </w:r>
          </w:p>
          <w:p w14:paraId="2FB4A764" w14:textId="77777777" w:rsidR="00D42B94" w:rsidRDefault="00D42B94" w:rsidP="00701AF7">
            <w:pPr>
              <w:spacing w:line="276" w:lineRule="auto"/>
              <w:rPr>
                <w:b/>
              </w:rPr>
            </w:pPr>
          </w:p>
        </w:tc>
        <w:tc>
          <w:tcPr>
            <w:tcW w:w="4678" w:type="dxa"/>
          </w:tcPr>
          <w:p w14:paraId="40868643" w14:textId="14D89348" w:rsidR="00D42B94" w:rsidRPr="009C1D2C" w:rsidRDefault="00344919" w:rsidP="00380DB3">
            <w:pPr>
              <w:spacing w:line="276" w:lineRule="auto"/>
              <w:jc w:val="both"/>
              <w:rPr>
                <w:sz w:val="20"/>
                <w:szCs w:val="20"/>
              </w:rPr>
            </w:pPr>
            <w:r>
              <w:rPr>
                <w:sz w:val="20"/>
                <w:szCs w:val="20"/>
              </w:rPr>
              <w:t>Insurance &amp; reinsurance;</w:t>
            </w:r>
            <w:r w:rsidR="00380DB3">
              <w:rPr>
                <w:sz w:val="20"/>
                <w:szCs w:val="20"/>
              </w:rPr>
              <w:t xml:space="preserve"> risk pooling; </w:t>
            </w:r>
            <w:r>
              <w:rPr>
                <w:sz w:val="20"/>
                <w:szCs w:val="20"/>
              </w:rPr>
              <w:t xml:space="preserve"> f</w:t>
            </w:r>
            <w:r w:rsidR="00D42B94">
              <w:rPr>
                <w:sz w:val="20"/>
                <w:szCs w:val="20"/>
              </w:rPr>
              <w:t>inancial exposure</w:t>
            </w:r>
            <w:r>
              <w:rPr>
                <w:sz w:val="20"/>
                <w:szCs w:val="20"/>
              </w:rPr>
              <w:t>/reserves</w:t>
            </w:r>
            <w:r w:rsidR="008C4A7A">
              <w:rPr>
                <w:sz w:val="20"/>
                <w:szCs w:val="20"/>
              </w:rPr>
              <w:t>; disaster risk transfer tools</w:t>
            </w:r>
          </w:p>
        </w:tc>
      </w:tr>
      <w:tr w:rsidR="00D42B94" w14:paraId="0F84B973" w14:textId="77777777" w:rsidTr="009439EC">
        <w:trPr>
          <w:trHeight w:val="316"/>
        </w:trPr>
        <w:tc>
          <w:tcPr>
            <w:tcW w:w="1838" w:type="dxa"/>
            <w:vMerge w:val="restart"/>
            <w:shd w:val="clear" w:color="auto" w:fill="A50021"/>
          </w:tcPr>
          <w:p w14:paraId="4D95D733" w14:textId="77777777" w:rsidR="00D42B94" w:rsidRDefault="00D42B94" w:rsidP="00701AF7">
            <w:pPr>
              <w:spacing w:line="276" w:lineRule="auto"/>
              <w:rPr>
                <w:b/>
                <w:color w:val="FFFFFF" w:themeColor="background1"/>
              </w:rPr>
            </w:pPr>
            <w:r>
              <w:rPr>
                <w:b/>
                <w:color w:val="FFFFFF" w:themeColor="background1"/>
              </w:rPr>
              <w:t>ORGANISATION</w:t>
            </w:r>
          </w:p>
          <w:p w14:paraId="71B544E4" w14:textId="217D117D" w:rsidR="00D42B94" w:rsidRDefault="00D42B94" w:rsidP="00701AF7">
            <w:pPr>
              <w:spacing w:line="276" w:lineRule="auto"/>
              <w:rPr>
                <w:b/>
                <w:color w:val="FFFFFF" w:themeColor="background1"/>
              </w:rPr>
            </w:pPr>
          </w:p>
        </w:tc>
        <w:tc>
          <w:tcPr>
            <w:tcW w:w="3402" w:type="dxa"/>
            <w:shd w:val="clear" w:color="auto" w:fill="FFFFFF" w:themeFill="background1"/>
          </w:tcPr>
          <w:p w14:paraId="5220E373" w14:textId="77777777" w:rsidR="00D42B94" w:rsidRDefault="00D42B94" w:rsidP="00701AF7">
            <w:pPr>
              <w:spacing w:line="276" w:lineRule="auto"/>
              <w:rPr>
                <w:b/>
              </w:rPr>
            </w:pPr>
            <w:r w:rsidRPr="00487664">
              <w:rPr>
                <w:b/>
                <w:color w:val="000000" w:themeColor="text1"/>
              </w:rPr>
              <w:t xml:space="preserve">Capacity </w:t>
            </w:r>
          </w:p>
        </w:tc>
        <w:tc>
          <w:tcPr>
            <w:tcW w:w="4678" w:type="dxa"/>
            <w:shd w:val="clear" w:color="auto" w:fill="FFFFFF" w:themeFill="background1"/>
          </w:tcPr>
          <w:p w14:paraId="52C2A019" w14:textId="2436DFF2" w:rsidR="00D42B94" w:rsidRDefault="00380DB3" w:rsidP="00701AF7">
            <w:pPr>
              <w:spacing w:line="276" w:lineRule="auto"/>
              <w:jc w:val="both"/>
              <w:rPr>
                <w:sz w:val="20"/>
                <w:szCs w:val="20"/>
              </w:rPr>
            </w:pPr>
            <w:r>
              <w:rPr>
                <w:sz w:val="20"/>
                <w:szCs w:val="20"/>
              </w:rPr>
              <w:t>Capacity development; dedicated staff capacity for DRR/CCA including DRR focal points</w:t>
            </w:r>
            <w:r w:rsidR="004F2E20">
              <w:rPr>
                <w:sz w:val="20"/>
                <w:szCs w:val="20"/>
              </w:rPr>
              <w:t>; training</w:t>
            </w:r>
            <w:r>
              <w:rPr>
                <w:sz w:val="20"/>
                <w:szCs w:val="20"/>
              </w:rPr>
              <w:t>; equipment and resources; local capacities and community training;</w:t>
            </w:r>
          </w:p>
        </w:tc>
      </w:tr>
      <w:tr w:rsidR="00D42B94" w14:paraId="13FC1EF5" w14:textId="77777777" w:rsidTr="009439EC">
        <w:trPr>
          <w:trHeight w:val="316"/>
        </w:trPr>
        <w:tc>
          <w:tcPr>
            <w:tcW w:w="1838" w:type="dxa"/>
            <w:vMerge/>
            <w:shd w:val="clear" w:color="auto" w:fill="A50021"/>
          </w:tcPr>
          <w:p w14:paraId="71CB2680" w14:textId="77777777" w:rsidR="00D42B94" w:rsidRPr="00C76812" w:rsidRDefault="00D42B94" w:rsidP="00701AF7">
            <w:pPr>
              <w:spacing w:line="276" w:lineRule="auto"/>
              <w:rPr>
                <w:b/>
                <w:color w:val="FFFFFF" w:themeColor="background1"/>
              </w:rPr>
            </w:pPr>
          </w:p>
        </w:tc>
        <w:tc>
          <w:tcPr>
            <w:tcW w:w="3402" w:type="dxa"/>
            <w:shd w:val="clear" w:color="auto" w:fill="FFFFFF" w:themeFill="background1"/>
          </w:tcPr>
          <w:p w14:paraId="1990DF68" w14:textId="77777777" w:rsidR="00D42B94" w:rsidRDefault="00D42B94" w:rsidP="00701AF7">
            <w:pPr>
              <w:spacing w:line="276" w:lineRule="auto"/>
              <w:rPr>
                <w:b/>
              </w:rPr>
            </w:pPr>
            <w:r>
              <w:rPr>
                <w:b/>
              </w:rPr>
              <w:t>Coordination and responsibilities</w:t>
            </w:r>
          </w:p>
        </w:tc>
        <w:tc>
          <w:tcPr>
            <w:tcW w:w="4678" w:type="dxa"/>
            <w:shd w:val="clear" w:color="auto" w:fill="FFFFFF" w:themeFill="background1"/>
          </w:tcPr>
          <w:p w14:paraId="65D769A0" w14:textId="28C838C7" w:rsidR="00D42B94" w:rsidRDefault="00380DB3" w:rsidP="00380DB3">
            <w:pPr>
              <w:spacing w:line="276" w:lineRule="auto"/>
              <w:jc w:val="both"/>
              <w:rPr>
                <w:sz w:val="20"/>
                <w:szCs w:val="20"/>
              </w:rPr>
            </w:pPr>
            <w:r>
              <w:rPr>
                <w:sz w:val="20"/>
                <w:szCs w:val="20"/>
              </w:rPr>
              <w:t>Organizational</w:t>
            </w:r>
            <w:r w:rsidR="00D42B94">
              <w:rPr>
                <w:sz w:val="20"/>
                <w:szCs w:val="20"/>
              </w:rPr>
              <w:t xml:space="preserve"> arrangements; </w:t>
            </w:r>
            <w:r>
              <w:rPr>
                <w:sz w:val="20"/>
                <w:szCs w:val="20"/>
              </w:rPr>
              <w:t xml:space="preserve">institutional </w:t>
            </w:r>
            <w:r w:rsidR="00D42B94">
              <w:rPr>
                <w:sz w:val="20"/>
                <w:szCs w:val="20"/>
              </w:rPr>
              <w:t>roles and responsibilities; job descrip</w:t>
            </w:r>
            <w:r>
              <w:rPr>
                <w:sz w:val="20"/>
                <w:szCs w:val="20"/>
              </w:rPr>
              <w:t>tions; coordination platforms and mechanisms</w:t>
            </w:r>
          </w:p>
        </w:tc>
      </w:tr>
      <w:tr w:rsidR="00D42B94" w14:paraId="3520796F" w14:textId="77777777" w:rsidTr="009439EC">
        <w:trPr>
          <w:trHeight w:val="316"/>
        </w:trPr>
        <w:tc>
          <w:tcPr>
            <w:tcW w:w="1838" w:type="dxa"/>
            <w:vMerge/>
            <w:shd w:val="clear" w:color="auto" w:fill="A50021"/>
          </w:tcPr>
          <w:p w14:paraId="4A3C4BD5" w14:textId="77777777" w:rsidR="00D42B94" w:rsidRPr="00C76812" w:rsidRDefault="00D42B94" w:rsidP="00701AF7">
            <w:pPr>
              <w:spacing w:line="276" w:lineRule="auto"/>
              <w:rPr>
                <w:b/>
                <w:color w:val="FFFFFF" w:themeColor="background1"/>
              </w:rPr>
            </w:pPr>
          </w:p>
        </w:tc>
        <w:tc>
          <w:tcPr>
            <w:tcW w:w="3402" w:type="dxa"/>
            <w:shd w:val="clear" w:color="auto" w:fill="FFFFFF" w:themeFill="background1"/>
          </w:tcPr>
          <w:p w14:paraId="06361861" w14:textId="77777777" w:rsidR="00D42B94" w:rsidRPr="00487664" w:rsidRDefault="00D42B94" w:rsidP="00701AF7">
            <w:pPr>
              <w:spacing w:line="276" w:lineRule="auto"/>
              <w:rPr>
                <w:b/>
                <w:color w:val="000000" w:themeColor="text1"/>
              </w:rPr>
            </w:pPr>
            <w:r>
              <w:rPr>
                <w:b/>
              </w:rPr>
              <w:t>Procedures, tools and management</w:t>
            </w:r>
          </w:p>
        </w:tc>
        <w:tc>
          <w:tcPr>
            <w:tcW w:w="4678" w:type="dxa"/>
            <w:shd w:val="clear" w:color="auto" w:fill="FFFFFF" w:themeFill="background1"/>
          </w:tcPr>
          <w:p w14:paraId="6451E73A" w14:textId="6839FC7C" w:rsidR="00D42B94" w:rsidRPr="00380DB3" w:rsidRDefault="004F2E20" w:rsidP="00380DB3">
            <w:pPr>
              <w:spacing w:line="276" w:lineRule="auto"/>
              <w:rPr>
                <w:sz w:val="20"/>
                <w:szCs w:val="20"/>
              </w:rPr>
            </w:pPr>
            <w:r w:rsidRPr="004F2E20">
              <w:rPr>
                <w:sz w:val="20"/>
                <w:szCs w:val="20"/>
              </w:rPr>
              <w:t>Internal procedures</w:t>
            </w:r>
            <w:r>
              <w:rPr>
                <w:sz w:val="20"/>
                <w:szCs w:val="20"/>
              </w:rPr>
              <w:t>; c</w:t>
            </w:r>
            <w:r w:rsidRPr="004F2E20">
              <w:rPr>
                <w:sz w:val="20"/>
                <w:szCs w:val="20"/>
              </w:rPr>
              <w:t>ross sectoral procedures/</w:t>
            </w:r>
            <w:r w:rsidR="00380DB3">
              <w:rPr>
                <w:sz w:val="20"/>
                <w:szCs w:val="20"/>
              </w:rPr>
              <w:t xml:space="preserve"> </w:t>
            </w:r>
            <w:r w:rsidRPr="004F2E20">
              <w:rPr>
                <w:sz w:val="20"/>
                <w:szCs w:val="20"/>
              </w:rPr>
              <w:t>processes (e.g. planning p</w:t>
            </w:r>
            <w:r w:rsidR="00380DB3">
              <w:rPr>
                <w:sz w:val="20"/>
                <w:szCs w:val="20"/>
              </w:rPr>
              <w:t>rocesses); tools and guidelines; checklists</w:t>
            </w:r>
          </w:p>
        </w:tc>
      </w:tr>
      <w:tr w:rsidR="00D42B94" w14:paraId="7B248276" w14:textId="77777777" w:rsidTr="009439EC">
        <w:tc>
          <w:tcPr>
            <w:tcW w:w="1838" w:type="dxa"/>
            <w:vMerge/>
            <w:shd w:val="clear" w:color="auto" w:fill="A50021"/>
          </w:tcPr>
          <w:p w14:paraId="39DF573D" w14:textId="77777777" w:rsidR="00D42B94" w:rsidRPr="00D652D9" w:rsidRDefault="00D42B94" w:rsidP="00701AF7">
            <w:pPr>
              <w:spacing w:line="276" w:lineRule="auto"/>
              <w:rPr>
                <w:b/>
              </w:rPr>
            </w:pPr>
          </w:p>
        </w:tc>
        <w:tc>
          <w:tcPr>
            <w:tcW w:w="3402" w:type="dxa"/>
            <w:shd w:val="clear" w:color="auto" w:fill="FFFFFF" w:themeFill="background1"/>
          </w:tcPr>
          <w:p w14:paraId="482296AD" w14:textId="77777777" w:rsidR="00D42B94" w:rsidRDefault="00D42B94" w:rsidP="00701AF7">
            <w:pPr>
              <w:spacing w:line="276" w:lineRule="auto"/>
              <w:rPr>
                <w:b/>
              </w:rPr>
            </w:pPr>
            <w:r>
              <w:rPr>
                <w:b/>
              </w:rPr>
              <w:t>Programmes and projects</w:t>
            </w:r>
          </w:p>
          <w:p w14:paraId="71FB4AAE" w14:textId="77777777" w:rsidR="00D42B94" w:rsidRPr="00F5563B" w:rsidRDefault="00D42B94" w:rsidP="00701AF7">
            <w:pPr>
              <w:spacing w:line="276" w:lineRule="auto"/>
              <w:rPr>
                <w:b/>
              </w:rPr>
            </w:pPr>
          </w:p>
        </w:tc>
        <w:tc>
          <w:tcPr>
            <w:tcW w:w="4678" w:type="dxa"/>
            <w:shd w:val="clear" w:color="auto" w:fill="FFFFFF" w:themeFill="background1"/>
          </w:tcPr>
          <w:p w14:paraId="506CDB43" w14:textId="6E1184F6" w:rsidR="00D42B94" w:rsidRPr="00380DB3" w:rsidRDefault="00380DB3" w:rsidP="00380DB3">
            <w:pPr>
              <w:spacing w:line="276" w:lineRule="auto"/>
              <w:rPr>
                <w:sz w:val="20"/>
                <w:szCs w:val="20"/>
              </w:rPr>
            </w:pPr>
            <w:r>
              <w:rPr>
                <w:sz w:val="20"/>
                <w:szCs w:val="20"/>
              </w:rPr>
              <w:t>Project/programme management cycle; logical framworks</w:t>
            </w:r>
          </w:p>
        </w:tc>
      </w:tr>
      <w:tr w:rsidR="00D42B94" w14:paraId="520A4FFC" w14:textId="77777777" w:rsidTr="009439EC">
        <w:trPr>
          <w:trHeight w:val="450"/>
        </w:trPr>
        <w:tc>
          <w:tcPr>
            <w:tcW w:w="1838" w:type="dxa"/>
            <w:vMerge w:val="restart"/>
            <w:shd w:val="clear" w:color="auto" w:fill="FFC000" w:themeFill="accent4"/>
          </w:tcPr>
          <w:p w14:paraId="42ADE300" w14:textId="77777777" w:rsidR="00D42B94" w:rsidRDefault="00D42B94" w:rsidP="00701AF7">
            <w:pPr>
              <w:spacing w:line="276" w:lineRule="auto"/>
              <w:rPr>
                <w:b/>
                <w:color w:val="FFFFFF" w:themeColor="background1"/>
              </w:rPr>
            </w:pPr>
            <w:r w:rsidRPr="00C76812">
              <w:rPr>
                <w:b/>
                <w:color w:val="FFFFFF" w:themeColor="background1"/>
              </w:rPr>
              <w:t>STAKEHOLDERS</w:t>
            </w:r>
          </w:p>
          <w:p w14:paraId="23EA53D7" w14:textId="77777777" w:rsidR="00D42B94" w:rsidRPr="00610032" w:rsidRDefault="00D42B94" w:rsidP="00701AF7">
            <w:pPr>
              <w:spacing w:after="160" w:line="276" w:lineRule="auto"/>
              <w:rPr>
                <w:b/>
                <w:color w:val="FFFFFF" w:themeColor="background1"/>
              </w:rPr>
            </w:pPr>
          </w:p>
        </w:tc>
        <w:tc>
          <w:tcPr>
            <w:tcW w:w="3402" w:type="dxa"/>
            <w:shd w:val="clear" w:color="auto" w:fill="FFFFFF" w:themeFill="background1"/>
          </w:tcPr>
          <w:p w14:paraId="6F9F149A" w14:textId="77777777" w:rsidR="00D42B94" w:rsidRPr="009F43D1" w:rsidRDefault="00D42B94" w:rsidP="00701AF7">
            <w:pPr>
              <w:spacing w:line="276" w:lineRule="auto"/>
              <w:rPr>
                <w:i/>
                <w:color w:val="FFFFFF" w:themeColor="background1"/>
              </w:rPr>
            </w:pPr>
            <w:r>
              <w:rPr>
                <w:b/>
              </w:rPr>
              <w:t xml:space="preserve">Government </w:t>
            </w:r>
          </w:p>
        </w:tc>
        <w:tc>
          <w:tcPr>
            <w:tcW w:w="4678" w:type="dxa"/>
            <w:shd w:val="clear" w:color="auto" w:fill="FFFFFF" w:themeFill="background1"/>
          </w:tcPr>
          <w:p w14:paraId="44E64C4F" w14:textId="603069AF" w:rsidR="00D42B94" w:rsidRPr="00671994" w:rsidRDefault="00671994" w:rsidP="00671994">
            <w:pPr>
              <w:spacing w:line="276" w:lineRule="auto"/>
              <w:rPr>
                <w:color w:val="FFFFFF" w:themeColor="background1"/>
                <w:sz w:val="20"/>
                <w:szCs w:val="20"/>
              </w:rPr>
            </w:pPr>
            <w:r>
              <w:t>Apex and line ministries; commissions; parliament; councils; public institutes; police; army</w:t>
            </w:r>
          </w:p>
        </w:tc>
      </w:tr>
      <w:tr w:rsidR="00D42B94" w14:paraId="36B1E448" w14:textId="77777777" w:rsidTr="009439EC">
        <w:tc>
          <w:tcPr>
            <w:tcW w:w="1838" w:type="dxa"/>
            <w:vMerge/>
            <w:shd w:val="clear" w:color="auto" w:fill="FFC000" w:themeFill="accent4"/>
          </w:tcPr>
          <w:p w14:paraId="70AB55DA" w14:textId="77777777" w:rsidR="00D42B94" w:rsidRDefault="00D42B94" w:rsidP="00701AF7">
            <w:pPr>
              <w:spacing w:line="276" w:lineRule="auto"/>
              <w:rPr>
                <w:b/>
              </w:rPr>
            </w:pPr>
          </w:p>
        </w:tc>
        <w:tc>
          <w:tcPr>
            <w:tcW w:w="3402" w:type="dxa"/>
          </w:tcPr>
          <w:p w14:paraId="78098E31" w14:textId="77777777" w:rsidR="00D42B94" w:rsidRDefault="00D42B94" w:rsidP="00701AF7">
            <w:pPr>
              <w:spacing w:line="276" w:lineRule="auto"/>
              <w:rPr>
                <w:b/>
              </w:rPr>
            </w:pPr>
            <w:r>
              <w:rPr>
                <w:b/>
              </w:rPr>
              <w:t>Civil society</w:t>
            </w:r>
          </w:p>
        </w:tc>
        <w:tc>
          <w:tcPr>
            <w:tcW w:w="4678" w:type="dxa"/>
          </w:tcPr>
          <w:p w14:paraId="21A0F3B3" w14:textId="62822B54" w:rsidR="00D42B94" w:rsidRPr="009C1D2C" w:rsidRDefault="00671994" w:rsidP="00671994">
            <w:pPr>
              <w:spacing w:line="276" w:lineRule="auto"/>
              <w:jc w:val="both"/>
              <w:rPr>
                <w:sz w:val="20"/>
                <w:szCs w:val="20"/>
              </w:rPr>
            </w:pPr>
            <w:r>
              <w:rPr>
                <w:sz w:val="20"/>
                <w:szCs w:val="20"/>
              </w:rPr>
              <w:t>Communities;</w:t>
            </w:r>
            <w:r w:rsidR="00D42B94" w:rsidRPr="009C1D2C">
              <w:rPr>
                <w:sz w:val="20"/>
                <w:szCs w:val="20"/>
              </w:rPr>
              <w:t xml:space="preserve"> </w:t>
            </w:r>
            <w:r>
              <w:rPr>
                <w:sz w:val="20"/>
                <w:szCs w:val="20"/>
              </w:rPr>
              <w:t xml:space="preserve">interest </w:t>
            </w:r>
            <w:r w:rsidR="00D42B94" w:rsidRPr="009C1D2C">
              <w:rPr>
                <w:sz w:val="20"/>
                <w:szCs w:val="20"/>
              </w:rPr>
              <w:t>group</w:t>
            </w:r>
            <w:r>
              <w:rPr>
                <w:sz w:val="20"/>
                <w:szCs w:val="20"/>
              </w:rPr>
              <w:t>s (women, elderly, youth); NGOs; CBOs;</w:t>
            </w:r>
            <w:r w:rsidR="00D42B94" w:rsidRPr="009C1D2C">
              <w:rPr>
                <w:sz w:val="20"/>
                <w:szCs w:val="20"/>
              </w:rPr>
              <w:t xml:space="preserve"> media</w:t>
            </w:r>
          </w:p>
        </w:tc>
      </w:tr>
      <w:tr w:rsidR="00D42B94" w14:paraId="38CBBC31" w14:textId="77777777" w:rsidTr="009439EC">
        <w:tc>
          <w:tcPr>
            <w:tcW w:w="1838" w:type="dxa"/>
            <w:vMerge/>
            <w:shd w:val="clear" w:color="auto" w:fill="FFC000" w:themeFill="accent4"/>
          </w:tcPr>
          <w:p w14:paraId="618F7838" w14:textId="77777777" w:rsidR="00D42B94" w:rsidRDefault="00D42B94" w:rsidP="00701AF7">
            <w:pPr>
              <w:spacing w:line="276" w:lineRule="auto"/>
              <w:rPr>
                <w:b/>
              </w:rPr>
            </w:pPr>
          </w:p>
        </w:tc>
        <w:tc>
          <w:tcPr>
            <w:tcW w:w="3402" w:type="dxa"/>
          </w:tcPr>
          <w:p w14:paraId="5803E2EB" w14:textId="77777777" w:rsidR="00D42B94" w:rsidRDefault="00D42B94" w:rsidP="00701AF7">
            <w:pPr>
              <w:spacing w:line="276" w:lineRule="auto"/>
              <w:rPr>
                <w:b/>
              </w:rPr>
            </w:pPr>
            <w:r>
              <w:rPr>
                <w:b/>
              </w:rPr>
              <w:t>Private sector</w:t>
            </w:r>
          </w:p>
        </w:tc>
        <w:tc>
          <w:tcPr>
            <w:tcW w:w="4678" w:type="dxa"/>
          </w:tcPr>
          <w:p w14:paraId="282544C3" w14:textId="36C52A54" w:rsidR="00D42B94" w:rsidRPr="00F6066D" w:rsidRDefault="00671994" w:rsidP="00701AF7">
            <w:pPr>
              <w:spacing w:line="276" w:lineRule="auto"/>
              <w:jc w:val="both"/>
              <w:rPr>
                <w:sz w:val="20"/>
                <w:szCs w:val="20"/>
              </w:rPr>
            </w:pPr>
            <w:r>
              <w:rPr>
                <w:sz w:val="20"/>
                <w:szCs w:val="20"/>
              </w:rPr>
              <w:t>Corporations; companies; for profit businesses; small and medium sized enterprises</w:t>
            </w:r>
          </w:p>
        </w:tc>
      </w:tr>
      <w:tr w:rsidR="00D42B94" w14:paraId="586E9CF6" w14:textId="77777777" w:rsidTr="009439EC">
        <w:tc>
          <w:tcPr>
            <w:tcW w:w="1838" w:type="dxa"/>
            <w:vMerge/>
            <w:shd w:val="clear" w:color="auto" w:fill="FFC000" w:themeFill="accent4"/>
          </w:tcPr>
          <w:p w14:paraId="7AFF64FC" w14:textId="77777777" w:rsidR="00D42B94" w:rsidRDefault="00D42B94" w:rsidP="00701AF7">
            <w:pPr>
              <w:spacing w:line="276" w:lineRule="auto"/>
              <w:rPr>
                <w:b/>
              </w:rPr>
            </w:pPr>
          </w:p>
        </w:tc>
        <w:tc>
          <w:tcPr>
            <w:tcW w:w="3402" w:type="dxa"/>
          </w:tcPr>
          <w:p w14:paraId="32D218CD" w14:textId="77777777" w:rsidR="00D42B94" w:rsidRDefault="00D42B94" w:rsidP="00701AF7">
            <w:pPr>
              <w:spacing w:line="276" w:lineRule="auto"/>
              <w:rPr>
                <w:b/>
              </w:rPr>
            </w:pPr>
            <w:r>
              <w:rPr>
                <w:b/>
              </w:rPr>
              <w:t>Partnerships &amp; networks</w:t>
            </w:r>
          </w:p>
        </w:tc>
        <w:tc>
          <w:tcPr>
            <w:tcW w:w="4678" w:type="dxa"/>
          </w:tcPr>
          <w:p w14:paraId="410E30B0" w14:textId="6B57695F" w:rsidR="00D42B94" w:rsidRDefault="00D42B94" w:rsidP="00671994">
            <w:pPr>
              <w:spacing w:line="276" w:lineRule="auto"/>
              <w:rPr>
                <w:sz w:val="20"/>
                <w:szCs w:val="20"/>
              </w:rPr>
            </w:pPr>
            <w:r>
              <w:rPr>
                <w:sz w:val="20"/>
                <w:szCs w:val="20"/>
              </w:rPr>
              <w:t>Private/public; inter-agency collaboration; communities of practice; south-south cooperation</w:t>
            </w:r>
            <w:r w:rsidR="00671994">
              <w:rPr>
                <w:sz w:val="20"/>
                <w:szCs w:val="20"/>
              </w:rPr>
              <w:t>; civil society networks; academic networks</w:t>
            </w:r>
          </w:p>
        </w:tc>
      </w:tr>
    </w:tbl>
    <w:p w14:paraId="26887F15" w14:textId="40C391FC" w:rsidR="00B60B0C" w:rsidRDefault="00B60B0C" w:rsidP="00B60B0C">
      <w:pPr>
        <w:pStyle w:val="ListParagraph"/>
        <w:rPr>
          <w:rFonts w:asciiTheme="minorHAnsi" w:hAnsiTheme="minorHAnsi"/>
          <w:sz w:val="22"/>
        </w:rPr>
      </w:pPr>
    </w:p>
    <w:p w14:paraId="61D4A0DC" w14:textId="55CA03ED" w:rsidR="00B60B0C" w:rsidRDefault="00B60B0C" w:rsidP="00B60B0C">
      <w:pPr>
        <w:pStyle w:val="Heading2"/>
      </w:pPr>
      <w:bookmarkStart w:id="33" w:name="_Toc451948701"/>
      <w:r>
        <w:t>Guidance on the mainstreaming components</w:t>
      </w:r>
      <w:bookmarkEnd w:id="33"/>
    </w:p>
    <w:p w14:paraId="42058319" w14:textId="77777777" w:rsidR="008C4A7A" w:rsidRPr="008C4A7A" w:rsidRDefault="008C4A7A" w:rsidP="008C4A7A"/>
    <w:p w14:paraId="2B636E0D" w14:textId="75734162" w:rsidR="00330691" w:rsidRPr="00330691" w:rsidRDefault="00B60B0C" w:rsidP="00B60B0C">
      <w:pPr>
        <w:jc w:val="both"/>
      </w:pPr>
      <w:r w:rsidRPr="008C4A7A">
        <w:rPr>
          <w:b/>
        </w:rPr>
        <w:t>T</w:t>
      </w:r>
      <w:r w:rsidR="00330691" w:rsidRPr="008C4A7A">
        <w:rPr>
          <w:b/>
        </w:rPr>
        <w:t>he remainder of this section provides a</w:t>
      </w:r>
      <w:r w:rsidR="00B0122F" w:rsidRPr="008C4A7A">
        <w:rPr>
          <w:b/>
        </w:rPr>
        <w:t xml:space="preserve"> brief</w:t>
      </w:r>
      <w:r w:rsidR="00DB5166" w:rsidRPr="008C4A7A">
        <w:rPr>
          <w:b/>
        </w:rPr>
        <w:t xml:space="preserve"> </w:t>
      </w:r>
      <w:r w:rsidR="00C007E3" w:rsidRPr="008C4A7A">
        <w:rPr>
          <w:b/>
        </w:rPr>
        <w:t>overview</w:t>
      </w:r>
      <w:r w:rsidR="00330691" w:rsidRPr="008C4A7A">
        <w:rPr>
          <w:b/>
        </w:rPr>
        <w:t xml:space="preserve"> of each component and its related entry-points</w:t>
      </w:r>
      <w:r w:rsidR="00330691">
        <w:t xml:space="preserve">.  </w:t>
      </w:r>
      <w:r w:rsidR="008C4A7A">
        <w:t xml:space="preserve">More detailed guidance on </w:t>
      </w:r>
      <w:r>
        <w:t>e</w:t>
      </w:r>
      <w:r w:rsidR="008C4A7A">
        <w:t xml:space="preserve">ach of the entry points is provided in </w:t>
      </w:r>
      <w:r w:rsidR="00330691" w:rsidRPr="00330691">
        <w:rPr>
          <w:i/>
        </w:rPr>
        <w:t xml:space="preserve">Annex </w:t>
      </w:r>
      <w:r w:rsidR="00330691" w:rsidRPr="008C4A7A">
        <w:rPr>
          <w:i/>
        </w:rPr>
        <w:t>A</w:t>
      </w:r>
      <w:r w:rsidR="008C4A7A">
        <w:rPr>
          <w:i/>
        </w:rPr>
        <w:t xml:space="preserve">, </w:t>
      </w:r>
      <w:r w:rsidR="008C4A7A">
        <w:t>which includes detailed tables with the following information for each entry point:</w:t>
      </w:r>
    </w:p>
    <w:p w14:paraId="602C170E" w14:textId="0AE2DA8F" w:rsidR="00330691" w:rsidRPr="00330691" w:rsidRDefault="00FD70F5" w:rsidP="00330691">
      <w:pPr>
        <w:pStyle w:val="ListParagraph"/>
        <w:numPr>
          <w:ilvl w:val="0"/>
          <w:numId w:val="70"/>
        </w:numPr>
        <w:jc w:val="both"/>
        <w:rPr>
          <w:rFonts w:asciiTheme="minorHAnsi" w:hAnsiTheme="minorHAnsi"/>
          <w:sz w:val="22"/>
        </w:rPr>
      </w:pPr>
      <w:r>
        <w:rPr>
          <w:rFonts w:asciiTheme="minorHAnsi" w:hAnsiTheme="minorHAnsi"/>
          <w:sz w:val="22"/>
        </w:rPr>
        <w:t>D</w:t>
      </w:r>
      <w:r w:rsidR="00C007E3" w:rsidRPr="00330691">
        <w:rPr>
          <w:rFonts w:asciiTheme="minorHAnsi" w:hAnsiTheme="minorHAnsi"/>
          <w:sz w:val="22"/>
        </w:rPr>
        <w:t>escription of</w:t>
      </w:r>
      <w:r w:rsidR="00DB5166" w:rsidRPr="00330691">
        <w:rPr>
          <w:rFonts w:asciiTheme="minorHAnsi" w:hAnsiTheme="minorHAnsi"/>
          <w:sz w:val="22"/>
        </w:rPr>
        <w:t xml:space="preserve"> </w:t>
      </w:r>
      <w:r w:rsidR="00916068" w:rsidRPr="00B60B0C">
        <w:rPr>
          <w:rFonts w:asciiTheme="minorHAnsi" w:hAnsiTheme="minorHAnsi"/>
          <w:b/>
          <w:sz w:val="22"/>
        </w:rPr>
        <w:t>what</w:t>
      </w:r>
      <w:r w:rsidR="00916068" w:rsidRPr="00330691">
        <w:rPr>
          <w:rFonts w:asciiTheme="minorHAnsi" w:hAnsiTheme="minorHAnsi"/>
          <w:i/>
          <w:sz w:val="22"/>
        </w:rPr>
        <w:t xml:space="preserve"> </w:t>
      </w:r>
      <w:r w:rsidR="00C007E3" w:rsidRPr="00330691">
        <w:rPr>
          <w:rFonts w:asciiTheme="minorHAnsi" w:hAnsiTheme="minorHAnsi"/>
          <w:sz w:val="22"/>
        </w:rPr>
        <w:t>is meant by the entry point</w:t>
      </w:r>
      <w:r w:rsidR="00DB5166" w:rsidRPr="00330691">
        <w:rPr>
          <w:rFonts w:asciiTheme="minorHAnsi" w:hAnsiTheme="minorHAnsi"/>
          <w:sz w:val="22"/>
        </w:rPr>
        <w:t xml:space="preserve">; </w:t>
      </w:r>
    </w:p>
    <w:p w14:paraId="652B14D4" w14:textId="2F306B1F" w:rsidR="00330691" w:rsidRPr="00330691" w:rsidRDefault="00FD70F5" w:rsidP="00330691">
      <w:pPr>
        <w:pStyle w:val="ListParagraph"/>
        <w:numPr>
          <w:ilvl w:val="0"/>
          <w:numId w:val="69"/>
        </w:numPr>
        <w:jc w:val="both"/>
        <w:rPr>
          <w:rFonts w:asciiTheme="minorHAnsi" w:hAnsiTheme="minorHAnsi"/>
          <w:sz w:val="22"/>
        </w:rPr>
      </w:pPr>
      <w:r>
        <w:rPr>
          <w:rFonts w:asciiTheme="minorHAnsi" w:hAnsiTheme="minorHAnsi"/>
          <w:sz w:val="22"/>
        </w:rPr>
        <w:t>Ex</w:t>
      </w:r>
      <w:r w:rsidR="00C007E3" w:rsidRPr="00330691">
        <w:rPr>
          <w:rFonts w:asciiTheme="minorHAnsi" w:hAnsiTheme="minorHAnsi"/>
          <w:sz w:val="22"/>
        </w:rPr>
        <w:t xml:space="preserve">planation of </w:t>
      </w:r>
      <w:r w:rsidR="00DB5166" w:rsidRPr="00B60B0C">
        <w:rPr>
          <w:rFonts w:asciiTheme="minorHAnsi" w:hAnsiTheme="minorHAnsi"/>
          <w:b/>
          <w:sz w:val="22"/>
        </w:rPr>
        <w:t xml:space="preserve">why </w:t>
      </w:r>
      <w:r w:rsidR="008C4A7A" w:rsidRPr="008C4A7A">
        <w:rPr>
          <w:rFonts w:asciiTheme="minorHAnsi" w:hAnsiTheme="minorHAnsi"/>
          <w:sz w:val="22"/>
        </w:rPr>
        <w:t>the entry point</w:t>
      </w:r>
      <w:r w:rsidR="00DB5166" w:rsidRPr="00330691">
        <w:rPr>
          <w:rFonts w:asciiTheme="minorHAnsi" w:hAnsiTheme="minorHAnsi"/>
          <w:sz w:val="22"/>
        </w:rPr>
        <w:t xml:space="preserve"> is relevant</w:t>
      </w:r>
      <w:r w:rsidR="00C007E3" w:rsidRPr="00330691">
        <w:rPr>
          <w:rFonts w:asciiTheme="minorHAnsi" w:hAnsiTheme="minorHAnsi"/>
          <w:sz w:val="22"/>
        </w:rPr>
        <w:t xml:space="preserve"> for mainstreaming</w:t>
      </w:r>
      <w:r w:rsidR="00DB5166" w:rsidRPr="00330691">
        <w:rPr>
          <w:rFonts w:asciiTheme="minorHAnsi" w:hAnsiTheme="minorHAnsi"/>
          <w:sz w:val="22"/>
        </w:rPr>
        <w:t>;</w:t>
      </w:r>
    </w:p>
    <w:p w14:paraId="16DED239" w14:textId="7C970403" w:rsidR="00330691" w:rsidRPr="00B60B0C" w:rsidRDefault="00FD70F5" w:rsidP="00330691">
      <w:pPr>
        <w:pStyle w:val="ListParagraph"/>
        <w:numPr>
          <w:ilvl w:val="0"/>
          <w:numId w:val="69"/>
        </w:numPr>
        <w:jc w:val="both"/>
        <w:rPr>
          <w:rFonts w:asciiTheme="minorHAnsi" w:hAnsiTheme="minorHAnsi"/>
          <w:sz w:val="22"/>
        </w:rPr>
      </w:pPr>
      <w:r w:rsidRPr="00B60B0C">
        <w:rPr>
          <w:rFonts w:asciiTheme="minorHAnsi" w:hAnsiTheme="minorHAnsi"/>
          <w:sz w:val="22"/>
        </w:rPr>
        <w:t xml:space="preserve">Identification of </w:t>
      </w:r>
      <w:r w:rsidRPr="00B60B0C">
        <w:rPr>
          <w:rFonts w:asciiTheme="minorHAnsi" w:hAnsiTheme="minorHAnsi"/>
          <w:b/>
          <w:sz w:val="22"/>
        </w:rPr>
        <w:t>who</w:t>
      </w:r>
      <w:r w:rsidRPr="00B60B0C">
        <w:rPr>
          <w:rFonts w:asciiTheme="minorHAnsi" w:hAnsiTheme="minorHAnsi"/>
          <w:sz w:val="22"/>
        </w:rPr>
        <w:t xml:space="preserve"> is usefully involved when s</w:t>
      </w:r>
      <w:r w:rsidR="008C4A7A">
        <w:rPr>
          <w:rFonts w:asciiTheme="minorHAnsi" w:hAnsiTheme="minorHAnsi"/>
          <w:sz w:val="22"/>
        </w:rPr>
        <w:t>upporting</w:t>
      </w:r>
      <w:r w:rsidRPr="00B60B0C">
        <w:rPr>
          <w:rFonts w:asciiTheme="minorHAnsi" w:hAnsiTheme="minorHAnsi"/>
          <w:sz w:val="22"/>
        </w:rPr>
        <w:t xml:space="preserve"> this </w:t>
      </w:r>
      <w:r w:rsidR="008C4A7A">
        <w:rPr>
          <w:rFonts w:asciiTheme="minorHAnsi" w:hAnsiTheme="minorHAnsi"/>
          <w:sz w:val="22"/>
        </w:rPr>
        <w:t xml:space="preserve">entry point and </w:t>
      </w:r>
      <w:r w:rsidR="008C4A7A" w:rsidRPr="004F2E20">
        <w:rPr>
          <w:rFonts w:asciiTheme="minorHAnsi" w:hAnsiTheme="minorHAnsi"/>
          <w:b/>
          <w:sz w:val="22"/>
        </w:rPr>
        <w:t>where</w:t>
      </w:r>
      <w:r w:rsidR="008C4A7A">
        <w:rPr>
          <w:rFonts w:asciiTheme="minorHAnsi" w:hAnsiTheme="minorHAnsi"/>
          <w:sz w:val="22"/>
        </w:rPr>
        <w:t xml:space="preserve"> (i.e. what level)</w:t>
      </w:r>
      <w:r w:rsidRPr="00B60B0C">
        <w:rPr>
          <w:rFonts w:asciiTheme="minorHAnsi" w:hAnsiTheme="minorHAnsi"/>
          <w:sz w:val="22"/>
        </w:rPr>
        <w:t>;</w:t>
      </w:r>
      <w:r w:rsidR="00DB5166" w:rsidRPr="00B60B0C">
        <w:rPr>
          <w:rFonts w:asciiTheme="minorHAnsi" w:hAnsiTheme="minorHAnsi"/>
          <w:sz w:val="22"/>
        </w:rPr>
        <w:t xml:space="preserve"> </w:t>
      </w:r>
    </w:p>
    <w:p w14:paraId="6EA15780" w14:textId="5F0D6D0E" w:rsidR="00330691" w:rsidRPr="00B60B0C" w:rsidRDefault="00FD70F5" w:rsidP="00330691">
      <w:pPr>
        <w:pStyle w:val="ListParagraph"/>
        <w:numPr>
          <w:ilvl w:val="0"/>
          <w:numId w:val="69"/>
        </w:numPr>
        <w:jc w:val="both"/>
        <w:rPr>
          <w:rFonts w:asciiTheme="minorHAnsi" w:hAnsiTheme="minorHAnsi"/>
          <w:sz w:val="22"/>
        </w:rPr>
      </w:pPr>
      <w:r w:rsidRPr="00B60B0C">
        <w:rPr>
          <w:rFonts w:asciiTheme="minorHAnsi" w:hAnsiTheme="minorHAnsi"/>
          <w:sz w:val="22"/>
        </w:rPr>
        <w:t>Overview of</w:t>
      </w:r>
      <w:r w:rsidR="00DB5166" w:rsidRPr="00B60B0C">
        <w:rPr>
          <w:rFonts w:asciiTheme="minorHAnsi" w:hAnsiTheme="minorHAnsi"/>
          <w:sz w:val="22"/>
        </w:rPr>
        <w:t xml:space="preserve"> </w:t>
      </w:r>
      <w:r w:rsidR="00DB5166" w:rsidRPr="00B60B0C">
        <w:rPr>
          <w:rFonts w:asciiTheme="minorHAnsi" w:hAnsiTheme="minorHAnsi"/>
          <w:b/>
          <w:sz w:val="22"/>
        </w:rPr>
        <w:t xml:space="preserve">how </w:t>
      </w:r>
      <w:r w:rsidR="00DB5166" w:rsidRPr="00B60B0C">
        <w:rPr>
          <w:rFonts w:asciiTheme="minorHAnsi" w:hAnsiTheme="minorHAnsi"/>
          <w:sz w:val="22"/>
        </w:rPr>
        <w:t xml:space="preserve">practitioners </w:t>
      </w:r>
      <w:r w:rsidRPr="00B60B0C">
        <w:rPr>
          <w:rFonts w:asciiTheme="minorHAnsi" w:hAnsiTheme="minorHAnsi"/>
          <w:sz w:val="22"/>
        </w:rPr>
        <w:t>c</w:t>
      </w:r>
      <w:r w:rsidR="00DB5166" w:rsidRPr="00B60B0C">
        <w:rPr>
          <w:rFonts w:asciiTheme="minorHAnsi" w:hAnsiTheme="minorHAnsi"/>
          <w:sz w:val="22"/>
        </w:rPr>
        <w:t>ould go about s</w:t>
      </w:r>
      <w:r w:rsidR="008C4A7A">
        <w:rPr>
          <w:rFonts w:asciiTheme="minorHAnsi" w:hAnsiTheme="minorHAnsi"/>
          <w:sz w:val="22"/>
        </w:rPr>
        <w:t>upporting</w:t>
      </w:r>
      <w:r w:rsidR="00DB5166" w:rsidRPr="00B60B0C">
        <w:rPr>
          <w:rFonts w:asciiTheme="minorHAnsi" w:hAnsiTheme="minorHAnsi"/>
          <w:sz w:val="22"/>
        </w:rPr>
        <w:t xml:space="preserve"> this</w:t>
      </w:r>
      <w:r w:rsidR="00C007E3" w:rsidRPr="00B60B0C">
        <w:rPr>
          <w:rFonts w:asciiTheme="minorHAnsi" w:hAnsiTheme="minorHAnsi"/>
          <w:sz w:val="22"/>
        </w:rPr>
        <w:t xml:space="preserve"> entry point</w:t>
      </w:r>
      <w:r w:rsidR="008C4A7A">
        <w:rPr>
          <w:rFonts w:asciiTheme="minorHAnsi" w:hAnsiTheme="minorHAnsi"/>
          <w:sz w:val="22"/>
        </w:rPr>
        <w:t xml:space="preserve"> at different levels</w:t>
      </w:r>
      <w:r w:rsidR="00DB5166" w:rsidRPr="00B60B0C">
        <w:rPr>
          <w:rFonts w:asciiTheme="minorHAnsi" w:hAnsiTheme="minorHAnsi"/>
          <w:sz w:val="22"/>
        </w:rPr>
        <w:t xml:space="preserve">; </w:t>
      </w:r>
    </w:p>
    <w:p w14:paraId="513FEAC4" w14:textId="3F0D8311" w:rsidR="00330691" w:rsidRPr="00B60B0C" w:rsidRDefault="00FD70F5" w:rsidP="00330691">
      <w:pPr>
        <w:pStyle w:val="ListParagraph"/>
        <w:numPr>
          <w:ilvl w:val="0"/>
          <w:numId w:val="69"/>
        </w:numPr>
        <w:jc w:val="both"/>
        <w:rPr>
          <w:rFonts w:asciiTheme="minorHAnsi" w:hAnsiTheme="minorHAnsi"/>
          <w:sz w:val="22"/>
        </w:rPr>
      </w:pPr>
      <w:r w:rsidRPr="00B60B0C">
        <w:rPr>
          <w:rFonts w:asciiTheme="minorHAnsi" w:hAnsiTheme="minorHAnsi"/>
          <w:sz w:val="22"/>
        </w:rPr>
        <w:t>Summary of possible</w:t>
      </w:r>
      <w:r w:rsidR="00AA4EB5" w:rsidRPr="00B60B0C">
        <w:rPr>
          <w:rFonts w:asciiTheme="minorHAnsi" w:hAnsiTheme="minorHAnsi"/>
          <w:sz w:val="22"/>
        </w:rPr>
        <w:t xml:space="preserve"> </w:t>
      </w:r>
      <w:r w:rsidR="00B60B0C">
        <w:rPr>
          <w:rFonts w:asciiTheme="minorHAnsi" w:hAnsiTheme="minorHAnsi"/>
          <w:b/>
          <w:sz w:val="22"/>
        </w:rPr>
        <w:t xml:space="preserve">outputs/outcomes </w:t>
      </w:r>
      <w:r w:rsidR="00DB5166" w:rsidRPr="00B60B0C">
        <w:rPr>
          <w:rFonts w:asciiTheme="minorHAnsi" w:hAnsiTheme="minorHAnsi"/>
          <w:sz w:val="22"/>
        </w:rPr>
        <w:t xml:space="preserve">from </w:t>
      </w:r>
      <w:r w:rsidR="00C007E3" w:rsidRPr="00B60B0C">
        <w:rPr>
          <w:rFonts w:asciiTheme="minorHAnsi" w:hAnsiTheme="minorHAnsi"/>
          <w:sz w:val="22"/>
        </w:rPr>
        <w:t>supporting the entry point</w:t>
      </w:r>
      <w:r w:rsidR="00DB5166" w:rsidRPr="00B60B0C">
        <w:rPr>
          <w:rFonts w:asciiTheme="minorHAnsi" w:hAnsiTheme="minorHAnsi"/>
          <w:sz w:val="22"/>
        </w:rPr>
        <w:t xml:space="preserve">; </w:t>
      </w:r>
    </w:p>
    <w:p w14:paraId="4D6A5693" w14:textId="2E876957" w:rsidR="00330691" w:rsidRPr="00B60B0C" w:rsidRDefault="00FD70F5" w:rsidP="00330691">
      <w:pPr>
        <w:pStyle w:val="ListParagraph"/>
        <w:numPr>
          <w:ilvl w:val="0"/>
          <w:numId w:val="69"/>
        </w:numPr>
        <w:jc w:val="both"/>
        <w:rPr>
          <w:rFonts w:asciiTheme="minorHAnsi" w:hAnsiTheme="minorHAnsi"/>
          <w:sz w:val="22"/>
        </w:rPr>
      </w:pPr>
      <w:r w:rsidRPr="00B60B0C">
        <w:rPr>
          <w:rFonts w:asciiTheme="minorHAnsi" w:hAnsiTheme="minorHAnsi"/>
          <w:sz w:val="22"/>
        </w:rPr>
        <w:t xml:space="preserve">List of relevant </w:t>
      </w:r>
      <w:r w:rsidR="00DB5166" w:rsidRPr="00B60B0C">
        <w:rPr>
          <w:rFonts w:asciiTheme="minorHAnsi" w:hAnsiTheme="minorHAnsi"/>
          <w:sz w:val="22"/>
        </w:rPr>
        <w:t xml:space="preserve">practitioner </w:t>
      </w:r>
      <w:r w:rsidR="00DB5166" w:rsidRPr="00B60B0C">
        <w:rPr>
          <w:rFonts w:asciiTheme="minorHAnsi" w:hAnsiTheme="minorHAnsi"/>
          <w:b/>
          <w:sz w:val="22"/>
        </w:rPr>
        <w:t>experiences/case studies</w:t>
      </w:r>
      <w:r w:rsidR="00AA4EB5" w:rsidRPr="00B60B0C">
        <w:rPr>
          <w:rFonts w:asciiTheme="minorHAnsi" w:hAnsiTheme="minorHAnsi"/>
          <w:sz w:val="22"/>
        </w:rPr>
        <w:t xml:space="preserve"> and</w:t>
      </w:r>
      <w:r w:rsidR="00DB5166" w:rsidRPr="00B60B0C">
        <w:rPr>
          <w:rFonts w:asciiTheme="minorHAnsi" w:hAnsiTheme="minorHAnsi"/>
          <w:sz w:val="22"/>
        </w:rPr>
        <w:t xml:space="preserve"> </w:t>
      </w:r>
      <w:r w:rsidR="00DB5166" w:rsidRPr="00B60B0C">
        <w:rPr>
          <w:rFonts w:asciiTheme="minorHAnsi" w:hAnsiTheme="minorHAnsi"/>
          <w:b/>
          <w:sz w:val="22"/>
        </w:rPr>
        <w:t>practitioner tips</w:t>
      </w:r>
      <w:r w:rsidR="00DB5166" w:rsidRPr="00B60B0C">
        <w:rPr>
          <w:rFonts w:asciiTheme="minorHAnsi" w:hAnsiTheme="minorHAnsi"/>
          <w:sz w:val="22"/>
        </w:rPr>
        <w:t xml:space="preserve">; </w:t>
      </w:r>
    </w:p>
    <w:p w14:paraId="545F9507" w14:textId="7355EF80" w:rsidR="00FD70F5" w:rsidRPr="00B60B0C" w:rsidRDefault="00FD70F5" w:rsidP="00330691">
      <w:pPr>
        <w:pStyle w:val="ListParagraph"/>
        <w:numPr>
          <w:ilvl w:val="0"/>
          <w:numId w:val="69"/>
        </w:numPr>
        <w:jc w:val="both"/>
        <w:rPr>
          <w:rFonts w:asciiTheme="minorHAnsi" w:hAnsiTheme="minorHAnsi"/>
          <w:sz w:val="22"/>
        </w:rPr>
      </w:pPr>
      <w:r w:rsidRPr="00B60B0C">
        <w:rPr>
          <w:rFonts w:asciiTheme="minorHAnsi" w:hAnsiTheme="minorHAnsi"/>
          <w:sz w:val="22"/>
        </w:rPr>
        <w:t xml:space="preserve">List of </w:t>
      </w:r>
      <w:r w:rsidR="008C4A7A">
        <w:rPr>
          <w:rFonts w:asciiTheme="minorHAnsi" w:hAnsiTheme="minorHAnsi"/>
          <w:sz w:val="22"/>
        </w:rPr>
        <w:t xml:space="preserve">possible </w:t>
      </w:r>
      <w:r w:rsidR="00DB5166" w:rsidRPr="00B60B0C">
        <w:rPr>
          <w:rFonts w:asciiTheme="minorHAnsi" w:hAnsiTheme="minorHAnsi"/>
          <w:b/>
          <w:sz w:val="22"/>
        </w:rPr>
        <w:t>tools</w:t>
      </w:r>
      <w:r w:rsidR="008C4A7A">
        <w:rPr>
          <w:rFonts w:asciiTheme="minorHAnsi" w:hAnsiTheme="minorHAnsi"/>
          <w:b/>
          <w:sz w:val="22"/>
        </w:rPr>
        <w:t xml:space="preserve"> </w:t>
      </w:r>
      <w:r w:rsidR="008C4A7A">
        <w:rPr>
          <w:rFonts w:asciiTheme="minorHAnsi" w:hAnsiTheme="minorHAnsi"/>
          <w:sz w:val="22"/>
        </w:rPr>
        <w:t>relevant to the entry point</w:t>
      </w:r>
      <w:r w:rsidR="00DB5166" w:rsidRPr="00B60B0C">
        <w:rPr>
          <w:rFonts w:asciiTheme="minorHAnsi" w:hAnsiTheme="minorHAnsi"/>
          <w:sz w:val="22"/>
        </w:rPr>
        <w:t>; and</w:t>
      </w:r>
    </w:p>
    <w:p w14:paraId="3D4AE882" w14:textId="201E993B" w:rsidR="00A43FC2" w:rsidRPr="00B60B0C" w:rsidRDefault="00FD70F5" w:rsidP="00330691">
      <w:pPr>
        <w:pStyle w:val="ListParagraph"/>
        <w:numPr>
          <w:ilvl w:val="0"/>
          <w:numId w:val="69"/>
        </w:numPr>
        <w:jc w:val="both"/>
        <w:rPr>
          <w:rFonts w:asciiTheme="minorHAnsi" w:hAnsiTheme="minorHAnsi"/>
          <w:sz w:val="22"/>
        </w:rPr>
      </w:pPr>
      <w:r w:rsidRPr="00B60B0C">
        <w:rPr>
          <w:rFonts w:asciiTheme="minorHAnsi" w:hAnsiTheme="minorHAnsi"/>
          <w:sz w:val="22"/>
        </w:rPr>
        <w:t xml:space="preserve">Identification of </w:t>
      </w:r>
      <w:r w:rsidR="00DB5166" w:rsidRPr="00B60B0C">
        <w:rPr>
          <w:rFonts w:asciiTheme="minorHAnsi" w:hAnsiTheme="minorHAnsi"/>
          <w:sz w:val="22"/>
        </w:rPr>
        <w:t xml:space="preserve">possible </w:t>
      </w:r>
      <w:r w:rsidR="00DB5166" w:rsidRPr="00B60B0C">
        <w:rPr>
          <w:rFonts w:asciiTheme="minorHAnsi" w:hAnsiTheme="minorHAnsi"/>
          <w:b/>
          <w:sz w:val="22"/>
        </w:rPr>
        <w:t>indicators</w:t>
      </w:r>
      <w:r w:rsidR="00DB5166" w:rsidRPr="00B60B0C">
        <w:rPr>
          <w:rFonts w:asciiTheme="minorHAnsi" w:hAnsiTheme="minorHAnsi"/>
          <w:sz w:val="22"/>
        </w:rPr>
        <w:t xml:space="preserve"> for measuring progress. </w:t>
      </w:r>
    </w:p>
    <w:p w14:paraId="467C0471" w14:textId="26BB2ABC" w:rsidR="00B60B0C" w:rsidRPr="00B60B0C" w:rsidRDefault="00B60B0C">
      <w:r w:rsidRPr="00B60B0C">
        <w:br w:type="page"/>
      </w:r>
    </w:p>
    <w:p w14:paraId="75632E5C" w14:textId="6C6C9496" w:rsidR="00B60B0C" w:rsidRPr="009439EC" w:rsidRDefault="009439EC" w:rsidP="009439EC">
      <w:pPr>
        <w:pStyle w:val="Heading2"/>
        <w:shd w:val="clear" w:color="auto" w:fill="385623" w:themeFill="accent6" w:themeFillShade="80"/>
        <w:rPr>
          <w:i/>
          <w:color w:val="FFFFFF" w:themeColor="background1"/>
          <w:sz w:val="36"/>
          <w:szCs w:val="36"/>
        </w:rPr>
      </w:pPr>
      <w:bookmarkStart w:id="34" w:name="_Toc451948702"/>
      <w:r w:rsidRPr="009439EC">
        <w:rPr>
          <w:noProof/>
          <w:color w:val="FFFFFF" w:themeColor="background1"/>
          <w:sz w:val="36"/>
          <w:szCs w:val="36"/>
          <w:lang w:bidi="ar-SA"/>
        </w:rPr>
        <w:drawing>
          <wp:anchor distT="0" distB="0" distL="114300" distR="114300" simplePos="0" relativeHeight="251902976" behindDoc="1" locked="0" layoutInCell="1" allowOverlap="1" wp14:anchorId="580A5BDA" wp14:editId="43C71E1C">
            <wp:simplePos x="0" y="0"/>
            <wp:positionH relativeFrom="column">
              <wp:posOffset>4920615</wp:posOffset>
            </wp:positionH>
            <wp:positionV relativeFrom="paragraph">
              <wp:posOffset>6413</wp:posOffset>
            </wp:positionV>
            <wp:extent cx="2002155" cy="1097915"/>
            <wp:effectExtent l="0" t="0" r="0" b="6985"/>
            <wp:wrapTight wrapText="bothSides">
              <wp:wrapPolygon edited="0">
                <wp:start x="0" y="0"/>
                <wp:lineTo x="0" y="21363"/>
                <wp:lineTo x="21374" y="21363"/>
                <wp:lineTo x="2137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2155" cy="1097915"/>
                    </a:xfrm>
                    <a:prstGeom prst="rect">
                      <a:avLst/>
                    </a:prstGeom>
                  </pic:spPr>
                </pic:pic>
              </a:graphicData>
            </a:graphic>
            <wp14:sizeRelH relativeFrom="margin">
              <wp14:pctWidth>0</wp14:pctWidth>
            </wp14:sizeRelH>
            <wp14:sizeRelV relativeFrom="margin">
              <wp14:pctHeight>0</wp14:pctHeight>
            </wp14:sizeRelV>
          </wp:anchor>
        </w:drawing>
      </w:r>
      <w:r w:rsidRPr="009439EC">
        <w:rPr>
          <w:color w:val="FFFFFF" w:themeColor="background1"/>
          <w:sz w:val="36"/>
          <w:szCs w:val="36"/>
        </w:rPr>
        <w:t>KNOWLEDGE</w:t>
      </w:r>
      <w:bookmarkEnd w:id="34"/>
    </w:p>
    <w:p w14:paraId="1633EA0C" w14:textId="170CE0F6" w:rsidR="00DD2DDA" w:rsidRDefault="00DD2DDA">
      <w:pPr>
        <w:rPr>
          <w:i/>
          <w:highlight w:val="green"/>
        </w:rPr>
      </w:pPr>
    </w:p>
    <w:p w14:paraId="458B1B20" w14:textId="1F574870" w:rsidR="00C75121" w:rsidRDefault="00C75121" w:rsidP="003D0CF8">
      <w:pPr>
        <w:shd w:val="clear" w:color="auto" w:fill="C5E0B3" w:themeFill="accent6" w:themeFillTint="66"/>
        <w:jc w:val="both"/>
        <w:rPr>
          <w:b/>
        </w:rPr>
      </w:pPr>
      <w:r>
        <w:rPr>
          <w:b/>
        </w:rPr>
        <w:t xml:space="preserve">PURPOSE:  </w:t>
      </w:r>
    </w:p>
    <w:p w14:paraId="243256E5" w14:textId="526EEC05" w:rsidR="002B14D5" w:rsidRPr="002B14D5" w:rsidRDefault="00C75121" w:rsidP="003D0CF8">
      <w:pPr>
        <w:ind w:left="284"/>
        <w:jc w:val="both"/>
      </w:pPr>
      <w:r>
        <w:rPr>
          <w:b/>
        </w:rPr>
        <w:t xml:space="preserve">i) </w:t>
      </w:r>
      <w:r w:rsidR="00B37725">
        <w:rPr>
          <w:b/>
        </w:rPr>
        <w:t>This</w:t>
      </w:r>
      <w:r>
        <w:rPr>
          <w:b/>
        </w:rPr>
        <w:t xml:space="preserve"> component </w:t>
      </w:r>
      <w:r w:rsidR="00114DDB">
        <w:rPr>
          <w:b/>
        </w:rPr>
        <w:t xml:space="preserve">can help </w:t>
      </w:r>
      <w:r w:rsidR="00114DDB">
        <w:rPr>
          <w:b/>
          <w:u w:val="single"/>
        </w:rPr>
        <w:t>drive</w:t>
      </w:r>
      <w:r>
        <w:rPr>
          <w:b/>
        </w:rPr>
        <w:t xml:space="preserve"> the </w:t>
      </w:r>
      <w:r w:rsidR="00114DDB">
        <w:rPr>
          <w:b/>
        </w:rPr>
        <w:t>mainstreaming</w:t>
      </w:r>
      <w:r>
        <w:rPr>
          <w:b/>
        </w:rPr>
        <w:t xml:space="preserve"> process.  </w:t>
      </w:r>
      <w:r>
        <w:t xml:space="preserve">Increasing the </w:t>
      </w:r>
      <w:r w:rsidRPr="00B7705D">
        <w:rPr>
          <w:u w:val="single"/>
        </w:rPr>
        <w:t>knowledge</w:t>
      </w:r>
      <w:r>
        <w:t xml:space="preserve"> base and raising </w:t>
      </w:r>
      <w:r w:rsidRPr="00B7705D">
        <w:rPr>
          <w:u w:val="single"/>
        </w:rPr>
        <w:t>awareness</w:t>
      </w:r>
      <w:r>
        <w:t xml:space="preserve"> on the links between disaster and climate </w:t>
      </w:r>
      <w:r w:rsidR="00842E2A">
        <w:t xml:space="preserve">change risks </w:t>
      </w:r>
      <w:r w:rsidR="00B7705D">
        <w:t>(supported by</w:t>
      </w:r>
      <w:r w:rsidR="00842E2A">
        <w:t xml:space="preserve"> </w:t>
      </w:r>
      <w:r w:rsidRPr="004F2E20">
        <w:rPr>
          <w:u w:val="single"/>
        </w:rPr>
        <w:t>assessment</w:t>
      </w:r>
      <w:r w:rsidR="004F2E20" w:rsidRPr="004F2E20">
        <w:rPr>
          <w:u w:val="single"/>
        </w:rPr>
        <w:t xml:space="preserve"> and analysis</w:t>
      </w:r>
      <w:r>
        <w:t xml:space="preserve"> of </w:t>
      </w:r>
      <w:r w:rsidR="00DC40F8">
        <w:t>risks to current and future</w:t>
      </w:r>
      <w:r w:rsidR="00236F05">
        <w:t xml:space="preserve"> development</w:t>
      </w:r>
      <w:r w:rsidR="00B7705D">
        <w:t>)</w:t>
      </w:r>
      <w:r w:rsidR="00842E2A">
        <w:t>,</w:t>
      </w:r>
      <w:r w:rsidR="00236F05">
        <w:t xml:space="preserve"> </w:t>
      </w:r>
      <w:r w:rsidR="009D1659">
        <w:t>is</w:t>
      </w:r>
      <w:r w:rsidR="00236F05">
        <w:t xml:space="preserve"> vital for “making the case” </w:t>
      </w:r>
      <w:r w:rsidR="009D1659">
        <w:t xml:space="preserve">and </w:t>
      </w:r>
      <w:r>
        <w:t xml:space="preserve">galvanising support for mainstreaming. </w:t>
      </w:r>
    </w:p>
    <w:p w14:paraId="43D56DC8" w14:textId="26F18AC1" w:rsidR="00EF557F" w:rsidRDefault="00C75121" w:rsidP="003D0CF8">
      <w:pPr>
        <w:pStyle w:val="ListParagraph"/>
        <w:ind w:left="284"/>
        <w:jc w:val="both"/>
        <w:rPr>
          <w:rFonts w:asciiTheme="minorHAnsi" w:hAnsiTheme="minorHAnsi"/>
          <w:i/>
          <w:sz w:val="20"/>
          <w:szCs w:val="20"/>
        </w:rPr>
      </w:pPr>
      <w:r>
        <w:rPr>
          <w:rFonts w:asciiTheme="minorHAnsi" w:hAnsiTheme="minorHAnsi"/>
          <w:b/>
          <w:sz w:val="22"/>
        </w:rPr>
        <w:t xml:space="preserve">ii) </w:t>
      </w:r>
      <w:r w:rsidR="00B37725">
        <w:rPr>
          <w:rFonts w:asciiTheme="minorHAnsi" w:hAnsiTheme="minorHAnsi"/>
          <w:b/>
          <w:sz w:val="22"/>
        </w:rPr>
        <w:t>T</w:t>
      </w:r>
      <w:r w:rsidR="00B25863">
        <w:rPr>
          <w:rFonts w:asciiTheme="minorHAnsi" w:hAnsiTheme="minorHAnsi"/>
          <w:b/>
          <w:sz w:val="22"/>
        </w:rPr>
        <w:t>his component</w:t>
      </w:r>
      <w:r w:rsidR="002B14D5" w:rsidRPr="00A63C47">
        <w:rPr>
          <w:rFonts w:asciiTheme="minorHAnsi" w:hAnsiTheme="minorHAnsi"/>
          <w:b/>
          <w:sz w:val="22"/>
        </w:rPr>
        <w:t xml:space="preserve"> </w:t>
      </w:r>
      <w:r w:rsidR="00F763B1" w:rsidRPr="00A63C47">
        <w:rPr>
          <w:rFonts w:asciiTheme="minorHAnsi" w:hAnsiTheme="minorHAnsi"/>
          <w:b/>
          <w:sz w:val="22"/>
        </w:rPr>
        <w:t xml:space="preserve">also </w:t>
      </w:r>
      <w:r w:rsidR="0080024B">
        <w:rPr>
          <w:rFonts w:asciiTheme="minorHAnsi" w:hAnsiTheme="minorHAnsi"/>
          <w:b/>
          <w:sz w:val="22"/>
        </w:rPr>
        <w:t>builds</w:t>
      </w:r>
      <w:r w:rsidR="00F763B1" w:rsidRPr="00A63C47">
        <w:rPr>
          <w:rFonts w:asciiTheme="minorHAnsi" w:hAnsiTheme="minorHAnsi"/>
          <w:b/>
          <w:sz w:val="22"/>
        </w:rPr>
        <w:t xml:space="preserve"> the foundation for risk informed</w:t>
      </w:r>
      <w:r w:rsidR="00F763B1" w:rsidRPr="00A63C47">
        <w:rPr>
          <w:rFonts w:asciiTheme="minorHAnsi" w:hAnsiTheme="minorHAnsi"/>
          <w:sz w:val="22"/>
        </w:rPr>
        <w:t xml:space="preserve"> </w:t>
      </w:r>
      <w:r w:rsidR="00B7705D">
        <w:rPr>
          <w:rFonts w:asciiTheme="minorHAnsi" w:hAnsiTheme="minorHAnsi"/>
          <w:sz w:val="22"/>
        </w:rPr>
        <w:t>development decision making</w:t>
      </w:r>
      <w:r w:rsidR="00842E2A">
        <w:rPr>
          <w:rFonts w:asciiTheme="minorHAnsi" w:hAnsiTheme="minorHAnsi"/>
          <w:sz w:val="22"/>
        </w:rPr>
        <w:t>,</w:t>
      </w:r>
      <w:r w:rsidR="00B25863">
        <w:rPr>
          <w:rFonts w:asciiTheme="minorHAnsi" w:hAnsiTheme="minorHAnsi"/>
          <w:sz w:val="22"/>
        </w:rPr>
        <w:t xml:space="preserve"> by</w:t>
      </w:r>
      <w:r w:rsidR="00AB4DA5" w:rsidRPr="00A63C47">
        <w:rPr>
          <w:rFonts w:asciiTheme="minorHAnsi" w:hAnsiTheme="minorHAnsi"/>
          <w:sz w:val="22"/>
        </w:rPr>
        <w:t xml:space="preserve"> </w:t>
      </w:r>
      <w:r w:rsidR="00DC40F8" w:rsidRPr="00A63C47">
        <w:rPr>
          <w:rFonts w:asciiTheme="minorHAnsi" w:hAnsiTheme="minorHAnsi"/>
          <w:sz w:val="22"/>
        </w:rPr>
        <w:t xml:space="preserve">ensuring the </w:t>
      </w:r>
      <w:r w:rsidR="0080024B" w:rsidRPr="0080024B">
        <w:rPr>
          <w:rFonts w:asciiTheme="minorHAnsi" w:hAnsiTheme="minorHAnsi"/>
          <w:sz w:val="22"/>
        </w:rPr>
        <w:t>information</w:t>
      </w:r>
      <w:r w:rsidR="000346E2" w:rsidRPr="00A63C47">
        <w:rPr>
          <w:rFonts w:asciiTheme="minorHAnsi" w:hAnsiTheme="minorHAnsi"/>
          <w:sz w:val="22"/>
        </w:rPr>
        <w:t xml:space="preserve"> needs </w:t>
      </w:r>
      <w:r w:rsidR="00DC40F8" w:rsidRPr="00A63C47">
        <w:rPr>
          <w:rFonts w:asciiTheme="minorHAnsi" w:hAnsiTheme="minorHAnsi"/>
          <w:sz w:val="22"/>
        </w:rPr>
        <w:t>for</w:t>
      </w:r>
      <w:r w:rsidR="000346E2" w:rsidRPr="00A63C47">
        <w:rPr>
          <w:rFonts w:asciiTheme="minorHAnsi" w:hAnsiTheme="minorHAnsi"/>
          <w:sz w:val="22"/>
        </w:rPr>
        <w:t xml:space="preserve"> </w:t>
      </w:r>
      <w:r w:rsidR="00DC40F8" w:rsidRPr="00A63C47">
        <w:rPr>
          <w:rFonts w:asciiTheme="minorHAnsi" w:hAnsiTheme="minorHAnsi"/>
          <w:sz w:val="22"/>
        </w:rPr>
        <w:t xml:space="preserve">evidenced based </w:t>
      </w:r>
      <w:r w:rsidR="000346E2" w:rsidRPr="00A63C47">
        <w:rPr>
          <w:rFonts w:asciiTheme="minorHAnsi" w:hAnsiTheme="minorHAnsi"/>
          <w:sz w:val="22"/>
        </w:rPr>
        <w:t>decision mak</w:t>
      </w:r>
      <w:r w:rsidR="00842E2A">
        <w:rPr>
          <w:rFonts w:asciiTheme="minorHAnsi" w:hAnsiTheme="minorHAnsi"/>
          <w:sz w:val="22"/>
        </w:rPr>
        <w:t>ing</w:t>
      </w:r>
      <w:r w:rsidR="000346E2" w:rsidRPr="00A63C47">
        <w:rPr>
          <w:rFonts w:asciiTheme="minorHAnsi" w:hAnsiTheme="minorHAnsi"/>
          <w:sz w:val="22"/>
        </w:rPr>
        <w:t xml:space="preserve"> </w:t>
      </w:r>
      <w:r w:rsidR="0080024B">
        <w:rPr>
          <w:rFonts w:asciiTheme="minorHAnsi" w:hAnsiTheme="minorHAnsi"/>
          <w:sz w:val="22"/>
        </w:rPr>
        <w:t>is available and</w:t>
      </w:r>
      <w:r w:rsidR="00DC40F8" w:rsidRPr="00A63C47">
        <w:rPr>
          <w:rFonts w:asciiTheme="minorHAnsi" w:hAnsiTheme="minorHAnsi"/>
          <w:sz w:val="22"/>
        </w:rPr>
        <w:t xml:space="preserve"> </w:t>
      </w:r>
      <w:r w:rsidR="00DC40F8" w:rsidRPr="009D1659">
        <w:rPr>
          <w:rFonts w:asciiTheme="minorHAnsi" w:hAnsiTheme="minorHAnsi"/>
          <w:sz w:val="22"/>
          <w:u w:val="single"/>
        </w:rPr>
        <w:t>communicated</w:t>
      </w:r>
      <w:r w:rsidR="00DC40F8" w:rsidRPr="00A63C47">
        <w:rPr>
          <w:rFonts w:asciiTheme="minorHAnsi" w:hAnsiTheme="minorHAnsi"/>
          <w:i/>
          <w:sz w:val="22"/>
        </w:rPr>
        <w:t xml:space="preserve"> </w:t>
      </w:r>
      <w:r w:rsidR="00DC40F8" w:rsidRPr="00A63C47">
        <w:rPr>
          <w:rFonts w:asciiTheme="minorHAnsi" w:hAnsiTheme="minorHAnsi"/>
          <w:sz w:val="22"/>
        </w:rPr>
        <w:t>in a user-friendly format</w:t>
      </w:r>
      <w:r w:rsidR="000346E2" w:rsidRPr="00A63C47">
        <w:rPr>
          <w:rFonts w:asciiTheme="minorHAnsi" w:hAnsiTheme="minorHAnsi"/>
          <w:sz w:val="22"/>
        </w:rPr>
        <w:t>.</w:t>
      </w:r>
      <w:r w:rsidR="008F7611" w:rsidRPr="00A63C47">
        <w:rPr>
          <w:rFonts w:asciiTheme="minorHAnsi" w:hAnsiTheme="minorHAnsi"/>
          <w:sz w:val="22"/>
        </w:rPr>
        <w:t xml:space="preserve">  </w:t>
      </w:r>
    </w:p>
    <w:p w14:paraId="71131BE3" w14:textId="77777777" w:rsidR="00A63C47" w:rsidRPr="009E70BE" w:rsidRDefault="00A63C47" w:rsidP="00A63C47">
      <w:pPr>
        <w:pStyle w:val="ListParagraph"/>
        <w:ind w:left="0"/>
        <w:jc w:val="both"/>
        <w:rPr>
          <w:i/>
        </w:rPr>
      </w:pPr>
    </w:p>
    <w:p w14:paraId="6A322E0F" w14:textId="36682737" w:rsidR="00FA371C" w:rsidRDefault="00B37725" w:rsidP="003D0CF8">
      <w:pPr>
        <w:shd w:val="clear" w:color="auto" w:fill="C5E0B3" w:themeFill="accent6" w:themeFillTint="66"/>
        <w:jc w:val="both"/>
      </w:pPr>
      <w:r>
        <w:rPr>
          <w:b/>
        </w:rPr>
        <w:t>Sub-components</w:t>
      </w:r>
      <w:r w:rsidR="003D0CF8">
        <w:rPr>
          <w:b/>
        </w:rPr>
        <w:t xml:space="preserve">: </w:t>
      </w:r>
    </w:p>
    <w:p w14:paraId="09C80D13" w14:textId="7B4679BA" w:rsidR="00D77892" w:rsidRPr="00D77892" w:rsidRDefault="00D77892" w:rsidP="00D77892">
      <w:pPr>
        <w:jc w:val="both"/>
      </w:pPr>
      <w:r>
        <w:rPr>
          <w:b/>
        </w:rPr>
        <w:t xml:space="preserve">This component comprises four main </w:t>
      </w:r>
      <w:r w:rsidR="00B37725">
        <w:rPr>
          <w:b/>
        </w:rPr>
        <w:t>sub-components</w:t>
      </w:r>
      <w:r>
        <w:rPr>
          <w:b/>
        </w:rPr>
        <w:t xml:space="preserve">. </w:t>
      </w:r>
      <w:r w:rsidR="007D4D66">
        <w:t>Mainstreaming will involve support for one or more of the</w:t>
      </w:r>
      <w:r w:rsidR="00B37725">
        <w:t>se</w:t>
      </w:r>
      <w:r w:rsidR="007D4D66">
        <w:t xml:space="preserve"> areas of intervention identified below. </w:t>
      </w:r>
    </w:p>
    <w:p w14:paraId="73A16B6C" w14:textId="4AF3F00A" w:rsidR="009D01FE" w:rsidRPr="00B665BA" w:rsidRDefault="00620CC5" w:rsidP="009D01FE">
      <w:pPr>
        <w:pStyle w:val="ListParagraph"/>
        <w:numPr>
          <w:ilvl w:val="2"/>
          <w:numId w:val="68"/>
        </w:numPr>
        <w:ind w:left="360"/>
        <w:jc w:val="both"/>
        <w:rPr>
          <w:rFonts w:asciiTheme="minorHAnsi" w:hAnsiTheme="minorHAnsi"/>
          <w:b/>
          <w:i/>
          <w:sz w:val="22"/>
        </w:rPr>
      </w:pPr>
      <w:r>
        <w:rPr>
          <w:rFonts w:asciiTheme="minorHAnsi" w:hAnsiTheme="minorHAnsi"/>
          <w:b/>
          <w:sz w:val="22"/>
        </w:rPr>
        <w:t xml:space="preserve">Awareness </w:t>
      </w:r>
      <w:r w:rsidR="003D0CF8">
        <w:rPr>
          <w:rFonts w:asciiTheme="minorHAnsi" w:hAnsiTheme="minorHAnsi"/>
          <w:b/>
          <w:sz w:val="22"/>
        </w:rPr>
        <w:t xml:space="preserve">raising </w:t>
      </w:r>
      <w:r>
        <w:rPr>
          <w:rFonts w:asciiTheme="minorHAnsi" w:hAnsiTheme="minorHAnsi"/>
          <w:b/>
          <w:sz w:val="22"/>
        </w:rPr>
        <w:t>and education</w:t>
      </w:r>
      <w:r w:rsidR="00692893" w:rsidRPr="00760221">
        <w:rPr>
          <w:rFonts w:asciiTheme="minorHAnsi" w:hAnsiTheme="minorHAnsi"/>
          <w:b/>
          <w:sz w:val="22"/>
        </w:rPr>
        <w:t xml:space="preserve">.  </w:t>
      </w:r>
      <w:r w:rsidR="0058482F" w:rsidRPr="00760221">
        <w:rPr>
          <w:rFonts w:asciiTheme="minorHAnsi" w:hAnsiTheme="minorHAnsi"/>
          <w:sz w:val="22"/>
        </w:rPr>
        <w:t xml:space="preserve">In many disaster prone countries, general awareness of climate and disaster risk may exist, but awareness </w:t>
      </w:r>
      <w:r w:rsidR="009D1659" w:rsidRPr="00760221">
        <w:rPr>
          <w:rFonts w:asciiTheme="minorHAnsi" w:hAnsiTheme="minorHAnsi"/>
          <w:sz w:val="22"/>
        </w:rPr>
        <w:t xml:space="preserve">in many countries </w:t>
      </w:r>
      <w:r w:rsidR="0058482F" w:rsidRPr="00760221">
        <w:rPr>
          <w:rFonts w:asciiTheme="minorHAnsi" w:hAnsiTheme="minorHAnsi"/>
          <w:sz w:val="22"/>
        </w:rPr>
        <w:t xml:space="preserve">on how these risks interact with development processes is still </w:t>
      </w:r>
      <w:r w:rsidR="009D1659" w:rsidRPr="00760221">
        <w:rPr>
          <w:rFonts w:asciiTheme="minorHAnsi" w:hAnsiTheme="minorHAnsi"/>
          <w:sz w:val="22"/>
        </w:rPr>
        <w:t>low</w:t>
      </w:r>
      <w:r w:rsidR="0058482F" w:rsidRPr="00760221">
        <w:rPr>
          <w:rFonts w:asciiTheme="minorHAnsi" w:hAnsiTheme="minorHAnsi"/>
          <w:sz w:val="22"/>
        </w:rPr>
        <w:t xml:space="preserve">. </w:t>
      </w:r>
      <w:r w:rsidR="00692893" w:rsidRPr="00760221">
        <w:rPr>
          <w:rFonts w:asciiTheme="minorHAnsi" w:hAnsiTheme="minorHAnsi"/>
          <w:sz w:val="22"/>
        </w:rPr>
        <w:t xml:space="preserve">Effective </w:t>
      </w:r>
      <w:r w:rsidR="00A24EB1" w:rsidRPr="00760221">
        <w:rPr>
          <w:rFonts w:asciiTheme="minorHAnsi" w:hAnsiTheme="minorHAnsi"/>
          <w:sz w:val="22"/>
        </w:rPr>
        <w:t xml:space="preserve">awareness raising and </w:t>
      </w:r>
      <w:r w:rsidR="00692893" w:rsidRPr="00760221">
        <w:rPr>
          <w:rFonts w:asciiTheme="minorHAnsi" w:hAnsiTheme="minorHAnsi"/>
          <w:sz w:val="22"/>
        </w:rPr>
        <w:t xml:space="preserve">advocacy </w:t>
      </w:r>
      <w:r w:rsidR="003D0CF8">
        <w:rPr>
          <w:rFonts w:asciiTheme="minorHAnsi" w:hAnsiTheme="minorHAnsi"/>
          <w:sz w:val="22"/>
        </w:rPr>
        <w:t>is</w:t>
      </w:r>
      <w:r w:rsidR="00A24EB1" w:rsidRPr="00760221">
        <w:rPr>
          <w:rFonts w:asciiTheme="minorHAnsi" w:hAnsiTheme="minorHAnsi"/>
          <w:sz w:val="22"/>
        </w:rPr>
        <w:t xml:space="preserve"> needed to </w:t>
      </w:r>
      <w:r w:rsidR="00A05FF0" w:rsidRPr="00760221">
        <w:rPr>
          <w:rFonts w:asciiTheme="minorHAnsi" w:hAnsiTheme="minorHAnsi"/>
          <w:sz w:val="22"/>
        </w:rPr>
        <w:t xml:space="preserve">build a common understanding </w:t>
      </w:r>
      <w:r w:rsidR="003D0CF8">
        <w:rPr>
          <w:rFonts w:asciiTheme="minorHAnsi" w:hAnsiTheme="minorHAnsi"/>
          <w:sz w:val="22"/>
        </w:rPr>
        <w:t xml:space="preserve">of </w:t>
      </w:r>
      <w:r w:rsidR="007F5FAB">
        <w:rPr>
          <w:rFonts w:asciiTheme="minorHAnsi" w:hAnsiTheme="minorHAnsi"/>
          <w:sz w:val="22"/>
        </w:rPr>
        <w:t>why</w:t>
      </w:r>
      <w:r w:rsidR="003D0CF8">
        <w:rPr>
          <w:rFonts w:asciiTheme="minorHAnsi" w:hAnsiTheme="minorHAnsi"/>
          <w:sz w:val="22"/>
        </w:rPr>
        <w:t xml:space="preserve"> mainstreaming is needed, galvanise commitment</w:t>
      </w:r>
      <w:r w:rsidR="003D3C48">
        <w:rPr>
          <w:rFonts w:asciiTheme="minorHAnsi" w:hAnsiTheme="minorHAnsi"/>
          <w:sz w:val="22"/>
        </w:rPr>
        <w:t>,</w:t>
      </w:r>
      <w:r w:rsidR="003D0CF8">
        <w:rPr>
          <w:rFonts w:asciiTheme="minorHAnsi" w:hAnsiTheme="minorHAnsi"/>
          <w:sz w:val="22"/>
        </w:rPr>
        <w:t xml:space="preserve"> and </w:t>
      </w:r>
      <w:r w:rsidR="00A24EB1" w:rsidRPr="00760221">
        <w:rPr>
          <w:rFonts w:asciiTheme="minorHAnsi" w:hAnsiTheme="minorHAnsi"/>
          <w:sz w:val="22"/>
        </w:rPr>
        <w:t xml:space="preserve">mobilise resources and capacities. </w:t>
      </w:r>
      <w:r w:rsidR="00692893" w:rsidRPr="00760221">
        <w:rPr>
          <w:rFonts w:asciiTheme="minorHAnsi" w:hAnsiTheme="minorHAnsi"/>
          <w:sz w:val="22"/>
        </w:rPr>
        <w:t xml:space="preserve"> </w:t>
      </w:r>
      <w:r>
        <w:rPr>
          <w:rFonts w:asciiTheme="minorHAnsi" w:hAnsiTheme="minorHAnsi"/>
          <w:sz w:val="22"/>
        </w:rPr>
        <w:t xml:space="preserve">Integrating disaster and climate change risk into the education system via the curriculum, </w:t>
      </w:r>
      <w:r w:rsidR="004F2E20">
        <w:rPr>
          <w:rFonts w:asciiTheme="minorHAnsi" w:hAnsiTheme="minorHAnsi"/>
          <w:sz w:val="22"/>
        </w:rPr>
        <w:t>(</w:t>
      </w:r>
      <w:r>
        <w:rPr>
          <w:rFonts w:asciiTheme="minorHAnsi" w:hAnsiTheme="minorHAnsi"/>
          <w:sz w:val="22"/>
        </w:rPr>
        <w:t>including professional education</w:t>
      </w:r>
      <w:r w:rsidR="004F2E20">
        <w:rPr>
          <w:rFonts w:asciiTheme="minorHAnsi" w:hAnsiTheme="minorHAnsi"/>
          <w:sz w:val="22"/>
        </w:rPr>
        <w:t>)</w:t>
      </w:r>
      <w:r>
        <w:rPr>
          <w:rFonts w:asciiTheme="minorHAnsi" w:hAnsiTheme="minorHAnsi"/>
          <w:sz w:val="22"/>
        </w:rPr>
        <w:t xml:space="preserve"> provides a sustainable approach to awareness raising on core DRR and CCA concepts. </w:t>
      </w:r>
      <w:r w:rsidR="00B665BA">
        <w:rPr>
          <w:rFonts w:asciiTheme="minorHAnsi" w:hAnsiTheme="minorHAnsi"/>
          <w:sz w:val="22"/>
        </w:rPr>
        <w:t xml:space="preserve"> </w:t>
      </w:r>
      <w:r w:rsidR="002B2F5A">
        <w:rPr>
          <w:rFonts w:asciiTheme="minorHAnsi" w:hAnsiTheme="minorHAnsi"/>
          <w:sz w:val="22"/>
        </w:rPr>
        <w:t xml:space="preserve"> </w:t>
      </w:r>
      <w:r w:rsidR="002B2F5A" w:rsidRPr="00527901">
        <w:rPr>
          <w:rFonts w:asciiTheme="minorHAnsi" w:hAnsiTheme="minorHAnsi"/>
          <w:sz w:val="22"/>
        </w:rPr>
        <w:t xml:space="preserve">Raising awareness of stakeholders such as the community, house owners or beneficiaries is </w:t>
      </w:r>
      <w:r w:rsidR="003D3C48">
        <w:rPr>
          <w:rFonts w:asciiTheme="minorHAnsi" w:hAnsiTheme="minorHAnsi"/>
          <w:sz w:val="22"/>
        </w:rPr>
        <w:t xml:space="preserve">also </w:t>
      </w:r>
      <w:r w:rsidR="002B2F5A" w:rsidRPr="00527901">
        <w:rPr>
          <w:rFonts w:asciiTheme="minorHAnsi" w:hAnsiTheme="minorHAnsi"/>
          <w:sz w:val="22"/>
        </w:rPr>
        <w:t xml:space="preserve">important </w:t>
      </w:r>
      <w:r w:rsidR="003D3C48">
        <w:rPr>
          <w:rFonts w:asciiTheme="minorHAnsi" w:hAnsiTheme="minorHAnsi"/>
          <w:sz w:val="22"/>
        </w:rPr>
        <w:t xml:space="preserve">for providing a </w:t>
      </w:r>
      <w:r w:rsidR="002B2F5A" w:rsidRPr="00527901">
        <w:rPr>
          <w:rFonts w:asciiTheme="minorHAnsi" w:hAnsiTheme="minorHAnsi"/>
          <w:sz w:val="22"/>
        </w:rPr>
        <w:t xml:space="preserve">check-and balance from the </w:t>
      </w:r>
      <w:r w:rsidR="004F2E20">
        <w:rPr>
          <w:rFonts w:asciiTheme="minorHAnsi" w:hAnsiTheme="minorHAnsi"/>
          <w:sz w:val="22"/>
        </w:rPr>
        <w:t>“</w:t>
      </w:r>
      <w:r w:rsidR="002B2F5A" w:rsidRPr="00527901">
        <w:rPr>
          <w:rFonts w:asciiTheme="minorHAnsi" w:hAnsiTheme="minorHAnsi"/>
          <w:sz w:val="22"/>
        </w:rPr>
        <w:t>beneficiary</w:t>
      </w:r>
      <w:r w:rsidR="004F2E20">
        <w:rPr>
          <w:rFonts w:asciiTheme="minorHAnsi" w:hAnsiTheme="minorHAnsi"/>
          <w:sz w:val="22"/>
        </w:rPr>
        <w:t>”</w:t>
      </w:r>
      <w:r w:rsidR="002B2F5A" w:rsidRPr="00527901">
        <w:rPr>
          <w:rFonts w:asciiTheme="minorHAnsi" w:hAnsiTheme="minorHAnsi"/>
          <w:sz w:val="22"/>
        </w:rPr>
        <w:t xml:space="preserve"> side</w:t>
      </w:r>
      <w:r w:rsidR="004F2E20">
        <w:rPr>
          <w:rFonts w:asciiTheme="minorHAnsi" w:hAnsiTheme="minorHAnsi"/>
          <w:sz w:val="22"/>
        </w:rPr>
        <w:t xml:space="preserve"> (UNDP, 2010)</w:t>
      </w:r>
      <w:r w:rsidR="002B2F5A" w:rsidRPr="00527901">
        <w:rPr>
          <w:rFonts w:asciiTheme="minorHAnsi" w:hAnsiTheme="minorHAnsi"/>
          <w:sz w:val="22"/>
        </w:rPr>
        <w:t>.</w:t>
      </w:r>
    </w:p>
    <w:p w14:paraId="09DE831D" w14:textId="29703D1B" w:rsidR="00B665BA" w:rsidRDefault="00B665BA" w:rsidP="00B665BA">
      <w:pPr>
        <w:pStyle w:val="ListParagraph"/>
        <w:ind w:left="360"/>
        <w:jc w:val="both"/>
        <w:rPr>
          <w:rFonts w:asciiTheme="minorHAnsi" w:hAnsiTheme="minorHAnsi"/>
          <w:b/>
          <w:sz w:val="22"/>
        </w:rPr>
      </w:pPr>
    </w:p>
    <w:p w14:paraId="3E3AB3C4" w14:textId="5435E583" w:rsidR="00B665BA" w:rsidRPr="007F5FAB" w:rsidRDefault="00B665BA" w:rsidP="00B665BA">
      <w:pPr>
        <w:pStyle w:val="ListParagraph"/>
        <w:ind w:left="1276"/>
        <w:jc w:val="both"/>
        <w:rPr>
          <w:b/>
          <w:i/>
          <w:color w:val="385623" w:themeColor="accent6" w:themeShade="80"/>
          <w:sz w:val="22"/>
        </w:rPr>
      </w:pPr>
      <w:r w:rsidRPr="007F5FAB">
        <w:rPr>
          <w:b/>
          <w:noProof/>
          <w:color w:val="385623" w:themeColor="accent6" w:themeShade="80"/>
          <w:lang w:val="en-US"/>
        </w:rPr>
        <w:drawing>
          <wp:anchor distT="0" distB="0" distL="114300" distR="114300" simplePos="0" relativeHeight="251905024" behindDoc="1" locked="0" layoutInCell="1" allowOverlap="1" wp14:anchorId="44F2E676" wp14:editId="7046D2DD">
            <wp:simplePos x="0" y="0"/>
            <wp:positionH relativeFrom="column">
              <wp:posOffset>321113</wp:posOffset>
            </wp:positionH>
            <wp:positionV relativeFrom="paragraph">
              <wp:posOffset>63375</wp:posOffset>
            </wp:positionV>
            <wp:extent cx="333375" cy="333375"/>
            <wp:effectExtent l="0" t="0" r="9525" b="9525"/>
            <wp:wrapTight wrapText="bothSides">
              <wp:wrapPolygon edited="0">
                <wp:start x="0" y="0"/>
                <wp:lineTo x="0" y="20983"/>
                <wp:lineTo x="20983" y="20983"/>
                <wp:lineTo x="2098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6">
                          <a:shade val="45000"/>
                          <a:satMod val="135000"/>
                        </a:schemeClr>
                        <a:prstClr val="white"/>
                      </a:duotone>
                    </a:blip>
                    <a:stretch>
                      <a:fillRect/>
                    </a:stretch>
                  </pic:blipFill>
                  <pic:spPr>
                    <a:xfrm>
                      <a:off x="0" y="0"/>
                      <a:ext cx="333375" cy="333375"/>
                    </a:xfrm>
                    <a:prstGeom prst="rect">
                      <a:avLst/>
                    </a:prstGeom>
                  </pic:spPr>
                </pic:pic>
              </a:graphicData>
            </a:graphic>
          </wp:anchor>
        </w:drawing>
      </w:r>
      <w:r w:rsidR="00B37725">
        <w:rPr>
          <w:rFonts w:asciiTheme="minorHAnsi" w:hAnsiTheme="minorHAnsi"/>
          <w:b/>
          <w:i/>
          <w:color w:val="385623" w:themeColor="accent6" w:themeShade="80"/>
          <w:sz w:val="22"/>
        </w:rPr>
        <w:t>T</w:t>
      </w:r>
      <w:r w:rsidRPr="007F5FAB">
        <w:rPr>
          <w:rFonts w:asciiTheme="minorHAnsi" w:hAnsiTheme="minorHAnsi"/>
          <w:b/>
          <w:i/>
          <w:color w:val="385623" w:themeColor="accent6" w:themeShade="80"/>
          <w:sz w:val="22"/>
        </w:rPr>
        <w:t xml:space="preserve">his entry point will: i) increase awareness, understanding and prioritisation of risk informed development; ii) promote risk informed development as </w:t>
      </w:r>
      <w:r w:rsidR="007F5FAB">
        <w:rPr>
          <w:rFonts w:asciiTheme="minorHAnsi" w:hAnsiTheme="minorHAnsi"/>
          <w:b/>
          <w:i/>
          <w:color w:val="385623" w:themeColor="accent6" w:themeShade="80"/>
          <w:sz w:val="22"/>
        </w:rPr>
        <w:t xml:space="preserve">an </w:t>
      </w:r>
      <w:r w:rsidRPr="007F5FAB">
        <w:rPr>
          <w:rFonts w:asciiTheme="minorHAnsi" w:hAnsiTheme="minorHAnsi"/>
          <w:b/>
          <w:i/>
          <w:color w:val="385623" w:themeColor="accent6" w:themeShade="80"/>
          <w:sz w:val="22"/>
        </w:rPr>
        <w:t>accepted goal amongst key stakeholders; and iii) empower key stakeholders to reduce risk as part of development decision making and practice.</w:t>
      </w:r>
    </w:p>
    <w:p w14:paraId="137F1B19" w14:textId="77777777" w:rsidR="009D01FE" w:rsidRPr="009D01FE" w:rsidRDefault="009D01FE" w:rsidP="009D01FE">
      <w:pPr>
        <w:pStyle w:val="ListParagraph"/>
        <w:ind w:left="360"/>
        <w:jc w:val="both"/>
        <w:rPr>
          <w:rFonts w:asciiTheme="minorHAnsi" w:hAnsiTheme="minorHAnsi"/>
          <w:b/>
          <w:i/>
          <w:sz w:val="22"/>
        </w:rPr>
      </w:pPr>
    </w:p>
    <w:p w14:paraId="7EAEF881" w14:textId="3B8BE030" w:rsidR="003D0CF8" w:rsidRPr="00B665BA" w:rsidRDefault="00620CC5" w:rsidP="009D01FE">
      <w:pPr>
        <w:pStyle w:val="ListParagraph"/>
        <w:numPr>
          <w:ilvl w:val="2"/>
          <w:numId w:val="68"/>
        </w:numPr>
        <w:ind w:left="360"/>
        <w:jc w:val="both"/>
        <w:rPr>
          <w:rFonts w:asciiTheme="minorHAnsi" w:hAnsiTheme="minorHAnsi"/>
          <w:sz w:val="20"/>
          <w:szCs w:val="20"/>
        </w:rPr>
      </w:pPr>
      <w:r w:rsidRPr="009D01FE">
        <w:rPr>
          <w:rFonts w:asciiTheme="minorHAnsi" w:hAnsiTheme="minorHAnsi"/>
          <w:b/>
          <w:sz w:val="22"/>
        </w:rPr>
        <w:t>Research</w:t>
      </w:r>
      <w:r w:rsidR="00D77892">
        <w:rPr>
          <w:rFonts w:asciiTheme="minorHAnsi" w:hAnsiTheme="minorHAnsi"/>
          <w:b/>
          <w:sz w:val="22"/>
        </w:rPr>
        <w:t>,</w:t>
      </w:r>
      <w:r w:rsidRPr="009D01FE">
        <w:rPr>
          <w:rFonts w:asciiTheme="minorHAnsi" w:hAnsiTheme="minorHAnsi"/>
          <w:b/>
          <w:sz w:val="22"/>
        </w:rPr>
        <w:t xml:space="preserve"> local knowledge</w:t>
      </w:r>
      <w:r w:rsidR="00D77892">
        <w:rPr>
          <w:rFonts w:asciiTheme="minorHAnsi" w:hAnsiTheme="minorHAnsi"/>
          <w:b/>
          <w:sz w:val="22"/>
        </w:rPr>
        <w:t xml:space="preserve"> (</w:t>
      </w:r>
      <w:r w:rsidR="00D77892" w:rsidRPr="00D77892">
        <w:rPr>
          <w:rFonts w:asciiTheme="minorHAnsi" w:hAnsiTheme="minorHAnsi"/>
          <w:b/>
          <w:sz w:val="22"/>
          <w:highlight w:val="yellow"/>
        </w:rPr>
        <w:t>and communication?)</w:t>
      </w:r>
      <w:r w:rsidR="000471B0" w:rsidRPr="00D77892">
        <w:rPr>
          <w:rFonts w:asciiTheme="minorHAnsi" w:hAnsiTheme="minorHAnsi"/>
          <w:b/>
          <w:sz w:val="22"/>
          <w:highlight w:val="yellow"/>
        </w:rPr>
        <w:t>.</w:t>
      </w:r>
      <w:r w:rsidR="000471B0" w:rsidRPr="009D01FE">
        <w:rPr>
          <w:rFonts w:asciiTheme="minorHAnsi" w:hAnsiTheme="minorHAnsi"/>
          <w:b/>
          <w:sz w:val="22"/>
        </w:rPr>
        <w:t xml:space="preserve">  </w:t>
      </w:r>
      <w:r w:rsidR="009D01FE">
        <w:rPr>
          <w:rFonts w:asciiTheme="minorHAnsi" w:hAnsiTheme="minorHAnsi"/>
          <w:sz w:val="22"/>
        </w:rPr>
        <w:t>A</w:t>
      </w:r>
      <w:r w:rsidR="000471B0" w:rsidRPr="009D01FE">
        <w:rPr>
          <w:rFonts w:asciiTheme="minorHAnsi" w:hAnsiTheme="minorHAnsi"/>
          <w:sz w:val="22"/>
        </w:rPr>
        <w:t xml:space="preserve"> favourable environment for risk management </w:t>
      </w:r>
      <w:r w:rsidR="007F5FAB">
        <w:rPr>
          <w:rFonts w:asciiTheme="minorHAnsi" w:hAnsiTheme="minorHAnsi"/>
          <w:sz w:val="22"/>
        </w:rPr>
        <w:t>means</w:t>
      </w:r>
      <w:r w:rsidR="000471B0" w:rsidRPr="009D01FE">
        <w:rPr>
          <w:rFonts w:asciiTheme="minorHAnsi" w:hAnsiTheme="minorHAnsi"/>
          <w:sz w:val="22"/>
        </w:rPr>
        <w:t xml:space="preserve"> access to </w:t>
      </w:r>
      <w:r w:rsidR="007424C6" w:rsidRPr="009D01FE">
        <w:rPr>
          <w:rFonts w:asciiTheme="minorHAnsi" w:hAnsiTheme="minorHAnsi"/>
          <w:sz w:val="22"/>
        </w:rPr>
        <w:t>scientific research</w:t>
      </w:r>
      <w:r w:rsidR="009D01FE">
        <w:rPr>
          <w:rFonts w:asciiTheme="minorHAnsi" w:hAnsiTheme="minorHAnsi"/>
          <w:sz w:val="22"/>
        </w:rPr>
        <w:t xml:space="preserve"> </w:t>
      </w:r>
      <w:r w:rsidR="009D01FE" w:rsidRPr="007F5FAB">
        <w:rPr>
          <w:rFonts w:asciiTheme="minorHAnsi" w:hAnsiTheme="minorHAnsi"/>
          <w:i/>
          <w:sz w:val="22"/>
        </w:rPr>
        <w:t>and</w:t>
      </w:r>
      <w:r w:rsidR="000471B0" w:rsidRPr="009D01FE">
        <w:rPr>
          <w:rFonts w:asciiTheme="minorHAnsi" w:hAnsiTheme="minorHAnsi"/>
          <w:sz w:val="22"/>
        </w:rPr>
        <w:t xml:space="preserve"> local knowledge, and when decision making is transparent and democratic (</w:t>
      </w:r>
      <w:r w:rsidR="009D01FE">
        <w:rPr>
          <w:rFonts w:asciiTheme="minorHAnsi" w:hAnsiTheme="minorHAnsi"/>
          <w:sz w:val="22"/>
        </w:rPr>
        <w:t xml:space="preserve">DFID, </w:t>
      </w:r>
      <w:r w:rsidR="000471B0" w:rsidRPr="009D01FE">
        <w:rPr>
          <w:rFonts w:asciiTheme="minorHAnsi" w:hAnsiTheme="minorHAnsi"/>
          <w:sz w:val="22"/>
        </w:rPr>
        <w:t xml:space="preserve">2010).  </w:t>
      </w:r>
      <w:r w:rsidR="0041688E" w:rsidRPr="009D01FE">
        <w:rPr>
          <w:rFonts w:asciiTheme="minorHAnsi" w:hAnsiTheme="minorHAnsi"/>
          <w:sz w:val="22"/>
        </w:rPr>
        <w:t>Evidence based decision making</w:t>
      </w:r>
      <w:r w:rsidR="00075C15" w:rsidRPr="009D01FE">
        <w:rPr>
          <w:rFonts w:asciiTheme="minorHAnsi" w:hAnsiTheme="minorHAnsi"/>
          <w:sz w:val="22"/>
        </w:rPr>
        <w:t xml:space="preserve"> recognises the importance of grassroots knowledge to help understand local challenges, but also value</w:t>
      </w:r>
      <w:r w:rsidR="0041688E" w:rsidRPr="009D01FE">
        <w:rPr>
          <w:rFonts w:asciiTheme="minorHAnsi" w:hAnsiTheme="minorHAnsi"/>
          <w:sz w:val="22"/>
        </w:rPr>
        <w:t>s</w:t>
      </w:r>
      <w:r w:rsidR="00075C15" w:rsidRPr="009D01FE">
        <w:rPr>
          <w:rFonts w:asciiTheme="minorHAnsi" w:hAnsiTheme="minorHAnsi"/>
          <w:sz w:val="22"/>
        </w:rPr>
        <w:t xml:space="preserve"> </w:t>
      </w:r>
      <w:r w:rsidR="009D1659" w:rsidRPr="009D01FE">
        <w:rPr>
          <w:rFonts w:asciiTheme="minorHAnsi" w:hAnsiTheme="minorHAnsi"/>
          <w:sz w:val="22"/>
        </w:rPr>
        <w:t xml:space="preserve">the </w:t>
      </w:r>
      <w:r w:rsidR="00075C15" w:rsidRPr="009D01FE">
        <w:rPr>
          <w:rFonts w:asciiTheme="minorHAnsi" w:hAnsiTheme="minorHAnsi"/>
          <w:sz w:val="22"/>
        </w:rPr>
        <w:t>research and innovation that universities and business</w:t>
      </w:r>
      <w:r w:rsidR="007F5FAB">
        <w:rPr>
          <w:rFonts w:asciiTheme="minorHAnsi" w:hAnsiTheme="minorHAnsi"/>
          <w:sz w:val="22"/>
        </w:rPr>
        <w:t>es</w:t>
      </w:r>
      <w:r w:rsidR="00075C15" w:rsidRPr="009D01FE">
        <w:rPr>
          <w:rFonts w:asciiTheme="minorHAnsi" w:hAnsiTheme="minorHAnsi"/>
          <w:sz w:val="22"/>
        </w:rPr>
        <w:t xml:space="preserve"> contribute (</w:t>
      </w:r>
      <w:r w:rsidR="0041688E" w:rsidRPr="009D01FE">
        <w:rPr>
          <w:rFonts w:asciiTheme="minorHAnsi" w:hAnsiTheme="minorHAnsi"/>
          <w:sz w:val="22"/>
        </w:rPr>
        <w:t>Rockefeller</w:t>
      </w:r>
      <w:r w:rsidR="00075C15" w:rsidRPr="009D01FE">
        <w:rPr>
          <w:rFonts w:asciiTheme="minorHAnsi" w:hAnsiTheme="minorHAnsi"/>
          <w:sz w:val="22"/>
        </w:rPr>
        <w:t xml:space="preserve">, 2014). </w:t>
      </w:r>
      <w:r w:rsidR="000471B0" w:rsidRPr="009D01FE">
        <w:rPr>
          <w:rFonts w:asciiTheme="minorHAnsi" w:hAnsiTheme="minorHAnsi"/>
          <w:sz w:val="22"/>
        </w:rPr>
        <w:t xml:space="preserve"> </w:t>
      </w:r>
      <w:r w:rsidR="009D01FE" w:rsidRPr="00957A0F">
        <w:rPr>
          <w:rFonts w:asciiTheme="minorHAnsi" w:hAnsiTheme="minorHAnsi"/>
          <w:sz w:val="22"/>
        </w:rPr>
        <w:t>Research is an important element</w:t>
      </w:r>
      <w:r w:rsidR="007F5FAB">
        <w:rPr>
          <w:rFonts w:asciiTheme="minorHAnsi" w:hAnsiTheme="minorHAnsi"/>
          <w:sz w:val="22"/>
        </w:rPr>
        <w:t xml:space="preserve">, increasing understanding of risks and </w:t>
      </w:r>
      <w:r w:rsidR="009D01FE" w:rsidRPr="00957A0F">
        <w:rPr>
          <w:rFonts w:asciiTheme="minorHAnsi" w:hAnsiTheme="minorHAnsi"/>
          <w:sz w:val="22"/>
        </w:rPr>
        <w:t>act</w:t>
      </w:r>
      <w:r w:rsidR="007F5FAB">
        <w:rPr>
          <w:rFonts w:asciiTheme="minorHAnsi" w:hAnsiTheme="minorHAnsi"/>
          <w:sz w:val="22"/>
        </w:rPr>
        <w:t>ing</w:t>
      </w:r>
      <w:r w:rsidR="009D01FE" w:rsidRPr="00957A0F">
        <w:rPr>
          <w:rFonts w:asciiTheme="minorHAnsi" w:hAnsiTheme="minorHAnsi"/>
          <w:sz w:val="22"/>
        </w:rPr>
        <w:t xml:space="preserve"> as a monitoring and feedback mechanism to improve the implementation of </w:t>
      </w:r>
      <w:r w:rsidR="003D3C48">
        <w:rPr>
          <w:rFonts w:asciiTheme="minorHAnsi" w:hAnsiTheme="minorHAnsi"/>
          <w:sz w:val="22"/>
        </w:rPr>
        <w:t>risk informed interventions</w:t>
      </w:r>
      <w:r w:rsidR="00957A0F">
        <w:rPr>
          <w:rFonts w:asciiTheme="minorHAnsi" w:hAnsiTheme="minorHAnsi"/>
          <w:sz w:val="22"/>
        </w:rPr>
        <w:t xml:space="preserve">.  </w:t>
      </w:r>
      <w:r w:rsidR="000471B0" w:rsidRPr="00957A0F">
        <w:rPr>
          <w:rFonts w:asciiTheme="minorHAnsi" w:hAnsiTheme="minorHAnsi"/>
          <w:sz w:val="22"/>
        </w:rPr>
        <w:t>M</w:t>
      </w:r>
      <w:r w:rsidR="000471B0" w:rsidRPr="009D01FE">
        <w:rPr>
          <w:rFonts w:asciiTheme="minorHAnsi" w:hAnsiTheme="minorHAnsi"/>
          <w:sz w:val="22"/>
        </w:rPr>
        <w:t xml:space="preserve">any countries </w:t>
      </w:r>
      <w:r w:rsidR="009D01FE">
        <w:rPr>
          <w:rFonts w:asciiTheme="minorHAnsi" w:hAnsiTheme="minorHAnsi"/>
          <w:sz w:val="22"/>
        </w:rPr>
        <w:t xml:space="preserve">however, </w:t>
      </w:r>
      <w:r w:rsidR="000471B0" w:rsidRPr="009D01FE">
        <w:rPr>
          <w:rFonts w:asciiTheme="minorHAnsi" w:hAnsiTheme="minorHAnsi"/>
          <w:sz w:val="22"/>
        </w:rPr>
        <w:t>lack the infrastructure</w:t>
      </w:r>
      <w:r w:rsidR="0041688E" w:rsidRPr="009D01FE">
        <w:rPr>
          <w:rFonts w:asciiTheme="minorHAnsi" w:hAnsiTheme="minorHAnsi"/>
          <w:sz w:val="22"/>
        </w:rPr>
        <w:t xml:space="preserve"> or</w:t>
      </w:r>
      <w:r w:rsidR="000471B0" w:rsidRPr="009D01FE">
        <w:rPr>
          <w:rFonts w:asciiTheme="minorHAnsi" w:hAnsiTheme="minorHAnsi"/>
          <w:sz w:val="22"/>
        </w:rPr>
        <w:t xml:space="preserve"> technical capacities to prov</w:t>
      </w:r>
      <w:r w:rsidR="00630FB1" w:rsidRPr="009D01FE">
        <w:rPr>
          <w:rFonts w:asciiTheme="minorHAnsi" w:hAnsiTheme="minorHAnsi"/>
          <w:sz w:val="22"/>
        </w:rPr>
        <w:t>ide high quality risk information</w:t>
      </w:r>
      <w:r w:rsidR="0041688E" w:rsidRPr="009D01FE">
        <w:rPr>
          <w:rFonts w:asciiTheme="minorHAnsi" w:hAnsiTheme="minorHAnsi"/>
          <w:sz w:val="22"/>
        </w:rPr>
        <w:t xml:space="preserve"> and practitioners have had to draw upon</w:t>
      </w:r>
      <w:r w:rsidR="00F669D4" w:rsidRPr="009D01FE">
        <w:rPr>
          <w:rFonts w:asciiTheme="minorHAnsi" w:hAnsiTheme="minorHAnsi"/>
          <w:sz w:val="22"/>
        </w:rPr>
        <w:t xml:space="preserve"> </w:t>
      </w:r>
      <w:r w:rsidR="0041688E" w:rsidRPr="009D01FE">
        <w:rPr>
          <w:rFonts w:asciiTheme="minorHAnsi" w:hAnsiTheme="minorHAnsi"/>
          <w:sz w:val="22"/>
        </w:rPr>
        <w:t xml:space="preserve">global </w:t>
      </w:r>
      <w:r w:rsidR="00F669D4" w:rsidRPr="009D01FE">
        <w:rPr>
          <w:rFonts w:asciiTheme="minorHAnsi" w:hAnsiTheme="minorHAnsi"/>
          <w:sz w:val="22"/>
        </w:rPr>
        <w:t>climate projections</w:t>
      </w:r>
      <w:r w:rsidR="00A63C47" w:rsidRPr="009D01FE">
        <w:rPr>
          <w:rFonts w:asciiTheme="minorHAnsi" w:hAnsiTheme="minorHAnsi"/>
          <w:sz w:val="22"/>
        </w:rPr>
        <w:t xml:space="preserve"> or </w:t>
      </w:r>
      <w:r w:rsidR="0041688E" w:rsidRPr="009D01FE">
        <w:rPr>
          <w:rFonts w:asciiTheme="minorHAnsi" w:hAnsiTheme="minorHAnsi"/>
          <w:sz w:val="22"/>
        </w:rPr>
        <w:t>risk data</w:t>
      </w:r>
      <w:r w:rsidR="00F669D4" w:rsidRPr="009D01FE">
        <w:rPr>
          <w:rFonts w:asciiTheme="minorHAnsi" w:hAnsiTheme="minorHAnsi"/>
          <w:sz w:val="22"/>
        </w:rPr>
        <w:t xml:space="preserve"> </w:t>
      </w:r>
      <w:r w:rsidR="0041688E" w:rsidRPr="009D01FE">
        <w:rPr>
          <w:rFonts w:asciiTheme="minorHAnsi" w:hAnsiTheme="minorHAnsi"/>
          <w:sz w:val="22"/>
        </w:rPr>
        <w:t xml:space="preserve">that is </w:t>
      </w:r>
      <w:r w:rsidR="009D01FE">
        <w:rPr>
          <w:rFonts w:asciiTheme="minorHAnsi" w:hAnsiTheme="minorHAnsi"/>
          <w:sz w:val="22"/>
        </w:rPr>
        <w:t xml:space="preserve">poorly </w:t>
      </w:r>
      <w:r w:rsidR="0041688E" w:rsidRPr="009D01FE">
        <w:rPr>
          <w:rFonts w:asciiTheme="minorHAnsi" w:hAnsiTheme="minorHAnsi"/>
          <w:sz w:val="22"/>
        </w:rPr>
        <w:t xml:space="preserve">matched </w:t>
      </w:r>
      <w:r w:rsidR="00F669D4" w:rsidRPr="009D01FE">
        <w:rPr>
          <w:rFonts w:asciiTheme="minorHAnsi" w:hAnsiTheme="minorHAnsi"/>
          <w:sz w:val="22"/>
        </w:rPr>
        <w:t>with policy, planning and management timeframes</w:t>
      </w:r>
      <w:r w:rsidR="0041688E" w:rsidRPr="009D01FE">
        <w:rPr>
          <w:rFonts w:asciiTheme="minorHAnsi" w:hAnsiTheme="minorHAnsi"/>
          <w:sz w:val="22"/>
        </w:rPr>
        <w:t xml:space="preserve">, </w:t>
      </w:r>
      <w:r w:rsidR="00F669D4" w:rsidRPr="009D01FE">
        <w:rPr>
          <w:rFonts w:asciiTheme="minorHAnsi" w:hAnsiTheme="minorHAnsi"/>
          <w:sz w:val="22"/>
        </w:rPr>
        <w:t xml:space="preserve">compounded by uncertainty </w:t>
      </w:r>
      <w:r w:rsidR="00A05FF0" w:rsidRPr="009D01FE">
        <w:rPr>
          <w:rFonts w:asciiTheme="minorHAnsi" w:hAnsiTheme="minorHAnsi"/>
          <w:sz w:val="22"/>
        </w:rPr>
        <w:t>and</w:t>
      </w:r>
      <w:r w:rsidR="00F669D4" w:rsidRPr="009D01FE">
        <w:rPr>
          <w:rFonts w:asciiTheme="minorHAnsi" w:hAnsiTheme="minorHAnsi"/>
          <w:sz w:val="22"/>
        </w:rPr>
        <w:t xml:space="preserve"> </w:t>
      </w:r>
      <w:r w:rsidR="004F2E20">
        <w:rPr>
          <w:rFonts w:asciiTheme="minorHAnsi" w:hAnsiTheme="minorHAnsi"/>
          <w:sz w:val="22"/>
        </w:rPr>
        <w:t>is not</w:t>
      </w:r>
      <w:r w:rsidR="009D1659" w:rsidRPr="009D01FE">
        <w:rPr>
          <w:rFonts w:asciiTheme="minorHAnsi" w:hAnsiTheme="minorHAnsi"/>
          <w:sz w:val="22"/>
        </w:rPr>
        <w:t xml:space="preserve"> sufficiently </w:t>
      </w:r>
      <w:r w:rsidR="00F669D4" w:rsidRPr="009D01FE">
        <w:rPr>
          <w:rFonts w:asciiTheme="minorHAnsi" w:hAnsiTheme="minorHAnsi"/>
          <w:sz w:val="22"/>
        </w:rPr>
        <w:t xml:space="preserve">sector specific, </w:t>
      </w:r>
      <w:r w:rsidR="005D571F" w:rsidRPr="009D01FE">
        <w:rPr>
          <w:rFonts w:asciiTheme="minorHAnsi" w:hAnsiTheme="minorHAnsi"/>
          <w:sz w:val="22"/>
        </w:rPr>
        <w:t>p</w:t>
      </w:r>
      <w:r w:rsidR="00F669D4" w:rsidRPr="009D01FE">
        <w:rPr>
          <w:rFonts w:asciiTheme="minorHAnsi" w:hAnsiTheme="minorHAnsi"/>
          <w:sz w:val="22"/>
        </w:rPr>
        <w:t xml:space="preserve">olicy-relevant or actionable (USAID, 2014). </w:t>
      </w:r>
      <w:r w:rsidRPr="009D01FE">
        <w:rPr>
          <w:rFonts w:asciiTheme="minorHAnsi" w:hAnsiTheme="minorHAnsi"/>
          <w:sz w:val="22"/>
        </w:rPr>
        <w:t xml:space="preserve">Effective </w:t>
      </w:r>
      <w:r w:rsidRPr="00957A0F">
        <w:rPr>
          <w:rFonts w:asciiTheme="minorHAnsi" w:hAnsiTheme="minorHAnsi"/>
          <w:sz w:val="22"/>
          <w:u w:val="single"/>
        </w:rPr>
        <w:t>communication</w:t>
      </w:r>
      <w:r w:rsidRPr="009D01FE">
        <w:rPr>
          <w:rFonts w:asciiTheme="minorHAnsi" w:hAnsiTheme="minorHAnsi"/>
          <w:sz w:val="22"/>
        </w:rPr>
        <w:t xml:space="preserve"> is essential to ensure climate</w:t>
      </w:r>
      <w:r w:rsidR="003D3C48">
        <w:rPr>
          <w:rFonts w:asciiTheme="minorHAnsi" w:hAnsiTheme="minorHAnsi"/>
          <w:sz w:val="22"/>
        </w:rPr>
        <w:t xml:space="preserve"> change </w:t>
      </w:r>
      <w:r w:rsidRPr="009D01FE">
        <w:rPr>
          <w:rFonts w:asciiTheme="minorHAnsi" w:hAnsiTheme="minorHAnsi"/>
          <w:sz w:val="22"/>
        </w:rPr>
        <w:t>and disaster information is useable in different contexts (WMO, Kenya</w:t>
      </w:r>
      <w:r w:rsidR="003D3C48">
        <w:rPr>
          <w:rFonts w:asciiTheme="minorHAnsi" w:hAnsiTheme="minorHAnsi"/>
          <w:sz w:val="22"/>
        </w:rPr>
        <w:t xml:space="preserve">) and </w:t>
      </w:r>
      <w:r w:rsidRPr="009D01FE">
        <w:rPr>
          <w:rFonts w:asciiTheme="minorHAnsi" w:hAnsiTheme="minorHAnsi"/>
          <w:sz w:val="22"/>
        </w:rPr>
        <w:t xml:space="preserve">is accessible, tailored, user friendly, relevant and actionable.  </w:t>
      </w:r>
    </w:p>
    <w:p w14:paraId="5B10ED2F" w14:textId="336811FF" w:rsidR="00B665BA" w:rsidRDefault="00B665BA" w:rsidP="00B665BA">
      <w:pPr>
        <w:pStyle w:val="ListParagraph"/>
        <w:ind w:left="1440"/>
        <w:jc w:val="both"/>
        <w:rPr>
          <w:rFonts w:asciiTheme="minorHAnsi" w:hAnsiTheme="minorHAnsi"/>
          <w:sz w:val="20"/>
          <w:szCs w:val="20"/>
        </w:rPr>
      </w:pPr>
    </w:p>
    <w:p w14:paraId="7CE6F384" w14:textId="0E39EADB" w:rsidR="00B665BA" w:rsidRPr="007F5FAB" w:rsidRDefault="00B665BA" w:rsidP="003D3C48">
      <w:pPr>
        <w:pStyle w:val="ListParagraph"/>
        <w:ind w:left="1134"/>
        <w:jc w:val="both"/>
        <w:rPr>
          <w:rFonts w:asciiTheme="minorHAnsi" w:hAnsiTheme="minorHAnsi"/>
          <w:b/>
          <w:i/>
          <w:color w:val="385623" w:themeColor="accent6" w:themeShade="80"/>
          <w:sz w:val="22"/>
        </w:rPr>
      </w:pPr>
      <w:r w:rsidRPr="007F5FAB">
        <w:rPr>
          <w:rFonts w:asciiTheme="minorHAnsi" w:hAnsiTheme="minorHAnsi"/>
          <w:b/>
          <w:noProof/>
          <w:color w:val="385623" w:themeColor="accent6" w:themeShade="80"/>
          <w:sz w:val="22"/>
          <w:lang w:val="en-US"/>
        </w:rPr>
        <w:drawing>
          <wp:anchor distT="0" distB="0" distL="114300" distR="114300" simplePos="0" relativeHeight="251907072" behindDoc="1" locked="0" layoutInCell="1" allowOverlap="1" wp14:anchorId="6B941D7E" wp14:editId="508EA803">
            <wp:simplePos x="0" y="0"/>
            <wp:positionH relativeFrom="column">
              <wp:posOffset>189981</wp:posOffset>
            </wp:positionH>
            <wp:positionV relativeFrom="paragraph">
              <wp:posOffset>4041</wp:posOffset>
            </wp:positionV>
            <wp:extent cx="333375" cy="333375"/>
            <wp:effectExtent l="0" t="0" r="9525" b="9525"/>
            <wp:wrapTight wrapText="bothSides">
              <wp:wrapPolygon edited="0">
                <wp:start x="0" y="0"/>
                <wp:lineTo x="0" y="20983"/>
                <wp:lineTo x="20983" y="20983"/>
                <wp:lineTo x="2098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6">
                          <a:shade val="45000"/>
                          <a:satMod val="135000"/>
                        </a:schemeClr>
                        <a:prstClr val="white"/>
                      </a:duotone>
                    </a:blip>
                    <a:stretch>
                      <a:fillRect/>
                    </a:stretch>
                  </pic:blipFill>
                  <pic:spPr>
                    <a:xfrm>
                      <a:off x="0" y="0"/>
                      <a:ext cx="333375" cy="333375"/>
                    </a:xfrm>
                    <a:prstGeom prst="rect">
                      <a:avLst/>
                    </a:prstGeom>
                  </pic:spPr>
                </pic:pic>
              </a:graphicData>
            </a:graphic>
          </wp:anchor>
        </w:drawing>
      </w:r>
      <w:r w:rsidR="00B37725">
        <w:rPr>
          <w:rFonts w:asciiTheme="minorHAnsi" w:hAnsiTheme="minorHAnsi"/>
          <w:b/>
          <w:i/>
          <w:color w:val="385623" w:themeColor="accent6" w:themeShade="80"/>
          <w:sz w:val="22"/>
        </w:rPr>
        <w:t>T</w:t>
      </w:r>
      <w:r w:rsidR="00674506" w:rsidRPr="007F5FAB">
        <w:rPr>
          <w:rFonts w:asciiTheme="minorHAnsi" w:hAnsiTheme="minorHAnsi"/>
          <w:b/>
          <w:i/>
          <w:color w:val="385623" w:themeColor="accent6" w:themeShade="80"/>
          <w:sz w:val="22"/>
        </w:rPr>
        <w:t>his entry point will: i) p</w:t>
      </w:r>
      <w:r w:rsidRPr="007F5FAB">
        <w:rPr>
          <w:rFonts w:asciiTheme="minorHAnsi" w:hAnsiTheme="minorHAnsi"/>
          <w:b/>
          <w:i/>
          <w:color w:val="385623" w:themeColor="accent6" w:themeShade="80"/>
          <w:sz w:val="22"/>
        </w:rPr>
        <w:t xml:space="preserve">rovide decision makers with </w:t>
      </w:r>
      <w:r w:rsidR="00674506" w:rsidRPr="007F5FAB">
        <w:rPr>
          <w:rFonts w:asciiTheme="minorHAnsi" w:hAnsiTheme="minorHAnsi"/>
          <w:b/>
          <w:i/>
          <w:color w:val="385623" w:themeColor="accent6" w:themeShade="80"/>
          <w:sz w:val="22"/>
        </w:rPr>
        <w:t>the knowledge</w:t>
      </w:r>
      <w:r w:rsidRPr="007F5FAB">
        <w:rPr>
          <w:rFonts w:asciiTheme="minorHAnsi" w:hAnsiTheme="minorHAnsi"/>
          <w:b/>
          <w:i/>
          <w:color w:val="385623" w:themeColor="accent6" w:themeShade="80"/>
          <w:sz w:val="22"/>
        </w:rPr>
        <w:t xml:space="preserve"> </w:t>
      </w:r>
      <w:r w:rsidR="00674506" w:rsidRPr="007F5FAB">
        <w:rPr>
          <w:rFonts w:asciiTheme="minorHAnsi" w:hAnsiTheme="minorHAnsi"/>
          <w:b/>
          <w:i/>
          <w:color w:val="385623" w:themeColor="accent6" w:themeShade="80"/>
          <w:sz w:val="22"/>
        </w:rPr>
        <w:t>to make risk informed decisions;</w:t>
      </w:r>
      <w:r w:rsidR="004F2E20">
        <w:rPr>
          <w:rFonts w:asciiTheme="minorHAnsi" w:hAnsiTheme="minorHAnsi"/>
          <w:b/>
          <w:i/>
          <w:color w:val="385623" w:themeColor="accent6" w:themeShade="80"/>
          <w:sz w:val="22"/>
        </w:rPr>
        <w:t xml:space="preserve"> and</w:t>
      </w:r>
      <w:r w:rsidR="00674506" w:rsidRPr="007F5FAB">
        <w:rPr>
          <w:rFonts w:asciiTheme="minorHAnsi" w:hAnsiTheme="minorHAnsi"/>
          <w:b/>
          <w:i/>
          <w:color w:val="385623" w:themeColor="accent6" w:themeShade="80"/>
          <w:sz w:val="22"/>
        </w:rPr>
        <w:t xml:space="preserve"> ii) e</w:t>
      </w:r>
      <w:r w:rsidRPr="007F5FAB">
        <w:rPr>
          <w:rFonts w:asciiTheme="minorHAnsi" w:hAnsiTheme="minorHAnsi"/>
          <w:b/>
          <w:i/>
          <w:color w:val="385623" w:themeColor="accent6" w:themeShade="80"/>
          <w:sz w:val="22"/>
        </w:rPr>
        <w:t>nsure that information is “translated” into the language of development</w:t>
      </w:r>
      <w:r w:rsidR="007F5FAB">
        <w:rPr>
          <w:rFonts w:asciiTheme="minorHAnsi" w:hAnsiTheme="minorHAnsi"/>
          <w:b/>
          <w:i/>
          <w:color w:val="385623" w:themeColor="accent6" w:themeShade="80"/>
          <w:sz w:val="22"/>
        </w:rPr>
        <w:t xml:space="preserve"> actors</w:t>
      </w:r>
      <w:r w:rsidRPr="007F5FAB">
        <w:rPr>
          <w:rFonts w:asciiTheme="minorHAnsi" w:hAnsiTheme="minorHAnsi"/>
          <w:b/>
          <w:i/>
          <w:color w:val="385623" w:themeColor="accent6" w:themeShade="80"/>
          <w:sz w:val="22"/>
        </w:rPr>
        <w:t>.</w:t>
      </w:r>
    </w:p>
    <w:p w14:paraId="02B7F42C" w14:textId="77777777" w:rsidR="007E435F" w:rsidRPr="00760221" w:rsidRDefault="007E435F" w:rsidP="00760221">
      <w:pPr>
        <w:pStyle w:val="ListParagraph"/>
        <w:ind w:left="0"/>
        <w:jc w:val="both"/>
        <w:rPr>
          <w:rFonts w:asciiTheme="minorHAnsi" w:hAnsiTheme="minorHAnsi"/>
          <w:sz w:val="22"/>
        </w:rPr>
      </w:pPr>
    </w:p>
    <w:p w14:paraId="0B0B9F05" w14:textId="0B3665BA" w:rsidR="00D77892" w:rsidRPr="001C3384" w:rsidRDefault="007E435F" w:rsidP="00D77892">
      <w:pPr>
        <w:pStyle w:val="ListParagraph"/>
        <w:numPr>
          <w:ilvl w:val="2"/>
          <w:numId w:val="68"/>
        </w:numPr>
        <w:ind w:left="360"/>
        <w:jc w:val="both"/>
        <w:rPr>
          <w:rFonts w:asciiTheme="minorHAnsi" w:hAnsiTheme="minorHAnsi"/>
          <w:i/>
          <w:sz w:val="22"/>
        </w:rPr>
      </w:pPr>
      <w:r w:rsidRPr="00760221">
        <w:rPr>
          <w:rFonts w:asciiTheme="minorHAnsi" w:hAnsiTheme="minorHAnsi"/>
          <w:b/>
          <w:sz w:val="22"/>
        </w:rPr>
        <w:t xml:space="preserve">Assessment and analysis.  </w:t>
      </w:r>
      <w:r w:rsidRPr="00760221">
        <w:rPr>
          <w:rFonts w:asciiTheme="minorHAnsi" w:hAnsiTheme="minorHAnsi"/>
          <w:sz w:val="22"/>
        </w:rPr>
        <w:t xml:space="preserve">Risk informed development requires an assessment of specific policy objectives, strategies and projects from a risk perspective.  This requires accessible risk information and research, together with risk assessment tools to analyse risk impacts.  </w:t>
      </w:r>
      <w:r w:rsidR="009D1659" w:rsidRPr="00760221">
        <w:rPr>
          <w:rFonts w:asciiTheme="minorHAnsi" w:hAnsiTheme="minorHAnsi"/>
          <w:sz w:val="22"/>
        </w:rPr>
        <w:t>Strengthening this entry point, will support a</w:t>
      </w:r>
      <w:r w:rsidRPr="00760221">
        <w:rPr>
          <w:rFonts w:asciiTheme="minorHAnsi" w:hAnsiTheme="minorHAnsi"/>
          <w:sz w:val="22"/>
        </w:rPr>
        <w:t xml:space="preserve"> paradigm shift toward </w:t>
      </w:r>
      <w:r w:rsidRPr="003D3C48">
        <w:rPr>
          <w:rFonts w:asciiTheme="minorHAnsi" w:hAnsiTheme="minorHAnsi"/>
          <w:sz w:val="22"/>
          <w:u w:val="single"/>
        </w:rPr>
        <w:t xml:space="preserve">dynamic </w:t>
      </w:r>
      <w:r w:rsidR="009D1659" w:rsidRPr="003D3C48">
        <w:rPr>
          <w:rFonts w:asciiTheme="minorHAnsi" w:hAnsiTheme="minorHAnsi"/>
          <w:sz w:val="22"/>
          <w:u w:val="single"/>
        </w:rPr>
        <w:t xml:space="preserve">joint </w:t>
      </w:r>
      <w:r w:rsidRPr="003D3C48">
        <w:rPr>
          <w:rFonts w:asciiTheme="minorHAnsi" w:hAnsiTheme="minorHAnsi"/>
          <w:sz w:val="22"/>
          <w:u w:val="single"/>
        </w:rPr>
        <w:t>risk assessments</w:t>
      </w:r>
      <w:r w:rsidRPr="00760221">
        <w:rPr>
          <w:rFonts w:asciiTheme="minorHAnsi" w:hAnsiTheme="minorHAnsi"/>
          <w:sz w:val="22"/>
        </w:rPr>
        <w:t xml:space="preserve">, which reveal the </w:t>
      </w:r>
      <w:r w:rsidR="003D3C48">
        <w:rPr>
          <w:rFonts w:asciiTheme="minorHAnsi" w:hAnsiTheme="minorHAnsi"/>
          <w:sz w:val="22"/>
        </w:rPr>
        <w:t xml:space="preserve">multiple </w:t>
      </w:r>
      <w:r w:rsidRPr="00760221">
        <w:rPr>
          <w:rFonts w:asciiTheme="minorHAnsi" w:hAnsiTheme="minorHAnsi"/>
          <w:sz w:val="22"/>
        </w:rPr>
        <w:t>drivers of risk</w:t>
      </w:r>
      <w:r w:rsidR="009D1659" w:rsidRPr="00760221">
        <w:rPr>
          <w:rFonts w:asciiTheme="minorHAnsi" w:hAnsiTheme="minorHAnsi"/>
          <w:sz w:val="22"/>
        </w:rPr>
        <w:t>,</w:t>
      </w:r>
      <w:r w:rsidRPr="00760221">
        <w:rPr>
          <w:rFonts w:asciiTheme="minorHAnsi" w:hAnsiTheme="minorHAnsi"/>
          <w:sz w:val="22"/>
        </w:rPr>
        <w:t xml:space="preserve"> the </w:t>
      </w:r>
      <w:r w:rsidR="003D3C48">
        <w:rPr>
          <w:rFonts w:asciiTheme="minorHAnsi" w:hAnsiTheme="minorHAnsi"/>
          <w:sz w:val="22"/>
        </w:rPr>
        <w:t xml:space="preserve">range of impacts, the </w:t>
      </w:r>
      <w:r w:rsidRPr="00760221">
        <w:rPr>
          <w:rFonts w:asciiTheme="minorHAnsi" w:hAnsiTheme="minorHAnsi"/>
          <w:sz w:val="22"/>
        </w:rPr>
        <w:t>effectiveness of policies</w:t>
      </w:r>
      <w:r w:rsidR="004F2E20">
        <w:rPr>
          <w:rFonts w:asciiTheme="minorHAnsi" w:hAnsiTheme="minorHAnsi"/>
          <w:sz w:val="22"/>
        </w:rPr>
        <w:t xml:space="preserve"> and projects</w:t>
      </w:r>
      <w:r w:rsidRPr="00760221">
        <w:rPr>
          <w:rFonts w:asciiTheme="minorHAnsi" w:hAnsiTheme="minorHAnsi"/>
          <w:sz w:val="22"/>
        </w:rPr>
        <w:t xml:space="preserve"> focused on reducing risk</w:t>
      </w:r>
      <w:r w:rsidR="003D3C48">
        <w:rPr>
          <w:rFonts w:asciiTheme="minorHAnsi" w:hAnsiTheme="minorHAnsi"/>
          <w:sz w:val="22"/>
        </w:rPr>
        <w:t>,</w:t>
      </w:r>
      <w:r w:rsidR="009D1659" w:rsidRPr="00760221">
        <w:rPr>
          <w:rFonts w:asciiTheme="minorHAnsi" w:hAnsiTheme="minorHAnsi"/>
          <w:sz w:val="22"/>
        </w:rPr>
        <w:t xml:space="preserve"> and current implementation gaps</w:t>
      </w:r>
      <w:r w:rsidRPr="00760221">
        <w:rPr>
          <w:rFonts w:asciiTheme="minorHAnsi" w:hAnsiTheme="minorHAnsi"/>
          <w:sz w:val="22"/>
        </w:rPr>
        <w:t xml:space="preserve"> (GFDRR, 2016). </w:t>
      </w:r>
    </w:p>
    <w:p w14:paraId="6F2877DD" w14:textId="77777777" w:rsidR="001C3384" w:rsidRPr="00674506" w:rsidRDefault="001C3384" w:rsidP="001C3384">
      <w:pPr>
        <w:pStyle w:val="ListParagraph"/>
        <w:ind w:left="360"/>
        <w:jc w:val="both"/>
        <w:rPr>
          <w:rFonts w:asciiTheme="minorHAnsi" w:hAnsiTheme="minorHAnsi"/>
          <w:i/>
          <w:sz w:val="22"/>
        </w:rPr>
      </w:pPr>
    </w:p>
    <w:p w14:paraId="4F344E23" w14:textId="0810B8B3" w:rsidR="00674506" w:rsidRPr="007F5FAB" w:rsidRDefault="001C3384" w:rsidP="001C3384">
      <w:pPr>
        <w:jc w:val="both"/>
        <w:rPr>
          <w:b/>
          <w:i/>
          <w:color w:val="385623" w:themeColor="accent6" w:themeShade="80"/>
        </w:rPr>
      </w:pPr>
      <w:r w:rsidRPr="007F5FAB">
        <w:rPr>
          <w:b/>
          <w:i/>
          <w:noProof/>
          <w:color w:val="385623" w:themeColor="accent6" w:themeShade="80"/>
          <w:lang w:bidi="ar-SA"/>
        </w:rPr>
        <w:drawing>
          <wp:anchor distT="0" distB="0" distL="114300" distR="114300" simplePos="0" relativeHeight="251909120" behindDoc="1" locked="0" layoutInCell="1" allowOverlap="1" wp14:anchorId="7F12A5B1" wp14:editId="5F3A008F">
            <wp:simplePos x="0" y="0"/>
            <wp:positionH relativeFrom="column">
              <wp:posOffset>154323</wp:posOffset>
            </wp:positionH>
            <wp:positionV relativeFrom="paragraph">
              <wp:posOffset>51184</wp:posOffset>
            </wp:positionV>
            <wp:extent cx="333375" cy="333375"/>
            <wp:effectExtent l="0" t="0" r="9525" b="9525"/>
            <wp:wrapTight wrapText="bothSides">
              <wp:wrapPolygon edited="0">
                <wp:start x="0" y="0"/>
                <wp:lineTo x="0" y="20983"/>
                <wp:lineTo x="20983" y="20983"/>
                <wp:lineTo x="20983" y="0"/>
                <wp:lineTo x="0" y="0"/>
              </wp:wrapPolygon>
            </wp:wrapTight>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6">
                          <a:shade val="45000"/>
                          <a:satMod val="135000"/>
                        </a:schemeClr>
                        <a:prstClr val="white"/>
                      </a:duotone>
                    </a:blip>
                    <a:stretch>
                      <a:fillRect/>
                    </a:stretch>
                  </pic:blipFill>
                  <pic:spPr>
                    <a:xfrm>
                      <a:off x="0" y="0"/>
                      <a:ext cx="333375" cy="333375"/>
                    </a:xfrm>
                    <a:prstGeom prst="rect">
                      <a:avLst/>
                    </a:prstGeom>
                  </pic:spPr>
                </pic:pic>
              </a:graphicData>
            </a:graphic>
          </wp:anchor>
        </w:drawing>
      </w:r>
      <w:r w:rsidR="00674506" w:rsidRPr="007F5FAB">
        <w:rPr>
          <w:b/>
          <w:i/>
          <w:color w:val="385623" w:themeColor="accent6" w:themeShade="80"/>
        </w:rPr>
        <w:t>Suppor</w:t>
      </w:r>
      <w:r w:rsidR="003D3C48" w:rsidRPr="007F5FAB">
        <w:rPr>
          <w:b/>
          <w:i/>
          <w:color w:val="385623" w:themeColor="accent6" w:themeShade="80"/>
        </w:rPr>
        <w:t xml:space="preserve">t for this entry point will </w:t>
      </w:r>
      <w:r w:rsidRPr="007F5FAB">
        <w:rPr>
          <w:b/>
          <w:i/>
          <w:color w:val="385623" w:themeColor="accent6" w:themeShade="80"/>
        </w:rPr>
        <w:t>p</w:t>
      </w:r>
      <w:r w:rsidR="00674506" w:rsidRPr="007F5FAB">
        <w:rPr>
          <w:b/>
          <w:i/>
          <w:color w:val="385623" w:themeColor="accent6" w:themeShade="80"/>
        </w:rPr>
        <w:t xml:space="preserve">rovide </w:t>
      </w:r>
      <w:r w:rsidR="003D3C48" w:rsidRPr="007F5FAB">
        <w:rPr>
          <w:b/>
          <w:i/>
          <w:color w:val="385623" w:themeColor="accent6" w:themeShade="80"/>
        </w:rPr>
        <w:t>critical</w:t>
      </w:r>
      <w:r w:rsidR="00674506" w:rsidRPr="007F5FAB">
        <w:rPr>
          <w:b/>
          <w:i/>
          <w:color w:val="385623" w:themeColor="accent6" w:themeShade="80"/>
        </w:rPr>
        <w:t xml:space="preserve"> anal</w:t>
      </w:r>
      <w:r w:rsidR="003D3C48" w:rsidRPr="007F5FAB">
        <w:rPr>
          <w:b/>
          <w:i/>
          <w:color w:val="385623" w:themeColor="accent6" w:themeShade="80"/>
        </w:rPr>
        <w:t xml:space="preserve">ysis to support development decision making from a risk informed perspective. </w:t>
      </w:r>
    </w:p>
    <w:p w14:paraId="57E04760" w14:textId="2A8B55C0" w:rsidR="00D77892" w:rsidRPr="00D77892" w:rsidRDefault="00674506" w:rsidP="001C3384">
      <w:pPr>
        <w:pStyle w:val="ListParagraph"/>
        <w:jc w:val="both"/>
        <w:rPr>
          <w:rFonts w:asciiTheme="minorHAnsi" w:hAnsiTheme="minorHAnsi"/>
          <w:b/>
          <w:sz w:val="22"/>
        </w:rPr>
      </w:pPr>
      <w:r>
        <w:rPr>
          <w:rFonts w:asciiTheme="minorHAnsi" w:hAnsiTheme="minorHAnsi"/>
          <w:sz w:val="20"/>
          <w:szCs w:val="20"/>
        </w:rPr>
        <w:t xml:space="preserve"> </w:t>
      </w:r>
      <w:r w:rsidRPr="00713F0A">
        <w:rPr>
          <w:rFonts w:asciiTheme="minorHAnsi" w:hAnsiTheme="minorHAnsi"/>
          <w:sz w:val="20"/>
          <w:szCs w:val="20"/>
        </w:rPr>
        <w:t xml:space="preserve"> </w:t>
      </w:r>
    </w:p>
    <w:p w14:paraId="4BE774A4" w14:textId="733C9292" w:rsidR="003D0CF8" w:rsidRPr="00674506" w:rsidRDefault="00620CC5" w:rsidP="00D77892">
      <w:pPr>
        <w:pStyle w:val="ListParagraph"/>
        <w:numPr>
          <w:ilvl w:val="2"/>
          <w:numId w:val="68"/>
        </w:numPr>
        <w:ind w:left="360"/>
        <w:jc w:val="both"/>
        <w:rPr>
          <w:rFonts w:asciiTheme="minorHAnsi" w:hAnsiTheme="minorHAnsi"/>
          <w:i/>
          <w:sz w:val="22"/>
        </w:rPr>
      </w:pPr>
      <w:r w:rsidRPr="00D77892">
        <w:rPr>
          <w:rFonts w:asciiTheme="minorHAnsi" w:hAnsiTheme="minorHAnsi"/>
          <w:b/>
          <w:sz w:val="22"/>
        </w:rPr>
        <w:t xml:space="preserve">Monitoring &amp; </w:t>
      </w:r>
      <w:r w:rsidR="00957A0F" w:rsidRPr="00D77892">
        <w:rPr>
          <w:rFonts w:asciiTheme="minorHAnsi" w:hAnsiTheme="minorHAnsi"/>
          <w:b/>
          <w:sz w:val="22"/>
        </w:rPr>
        <w:t>e</w:t>
      </w:r>
      <w:r w:rsidRPr="00D77892">
        <w:rPr>
          <w:rFonts w:asciiTheme="minorHAnsi" w:hAnsiTheme="minorHAnsi"/>
          <w:b/>
          <w:sz w:val="22"/>
        </w:rPr>
        <w:t xml:space="preserve">valuation, compliance and reporting. </w:t>
      </w:r>
      <w:r w:rsidR="00957A0F" w:rsidRPr="00D77892">
        <w:rPr>
          <w:rFonts w:asciiTheme="minorHAnsi" w:hAnsiTheme="minorHAnsi"/>
          <w:b/>
          <w:sz w:val="22"/>
        </w:rPr>
        <w:t xml:space="preserve"> </w:t>
      </w:r>
      <w:r w:rsidR="00527901" w:rsidRPr="00D77892">
        <w:rPr>
          <w:rFonts w:asciiTheme="minorHAnsi" w:hAnsiTheme="minorHAnsi"/>
          <w:sz w:val="22"/>
        </w:rPr>
        <w:t>A number of developing countries have excellent regulations on land use planning, building codes and other ordinance</w:t>
      </w:r>
      <w:r w:rsidR="007F5FAB">
        <w:rPr>
          <w:rFonts w:asciiTheme="minorHAnsi" w:hAnsiTheme="minorHAnsi"/>
          <w:sz w:val="22"/>
        </w:rPr>
        <w:t>s</w:t>
      </w:r>
      <w:r w:rsidR="00527901" w:rsidRPr="00D77892">
        <w:rPr>
          <w:rFonts w:asciiTheme="minorHAnsi" w:hAnsiTheme="minorHAnsi"/>
          <w:sz w:val="22"/>
        </w:rPr>
        <w:t xml:space="preserve"> intended to avoid and/or control risk on paper</w:t>
      </w:r>
      <w:r w:rsidR="007F5FAB">
        <w:rPr>
          <w:rFonts w:asciiTheme="minorHAnsi" w:hAnsiTheme="minorHAnsi"/>
          <w:sz w:val="22"/>
        </w:rPr>
        <w:t xml:space="preserve">.  However, </w:t>
      </w:r>
      <w:r w:rsidR="00527901" w:rsidRPr="00D77892">
        <w:rPr>
          <w:rFonts w:asciiTheme="minorHAnsi" w:hAnsiTheme="minorHAnsi"/>
          <w:sz w:val="22"/>
        </w:rPr>
        <w:t>compliance with</w:t>
      </w:r>
      <w:r w:rsidR="007F5FAB">
        <w:rPr>
          <w:rFonts w:asciiTheme="minorHAnsi" w:hAnsiTheme="minorHAnsi"/>
          <w:sz w:val="22"/>
        </w:rPr>
        <w:t>,</w:t>
      </w:r>
      <w:r w:rsidR="00527901" w:rsidRPr="00D77892">
        <w:rPr>
          <w:rFonts w:asciiTheme="minorHAnsi" w:hAnsiTheme="minorHAnsi"/>
          <w:sz w:val="22"/>
        </w:rPr>
        <w:t xml:space="preserve"> and enforcement of these</w:t>
      </w:r>
      <w:r w:rsidR="007F5FAB">
        <w:rPr>
          <w:rFonts w:asciiTheme="minorHAnsi" w:hAnsiTheme="minorHAnsi"/>
          <w:sz w:val="22"/>
        </w:rPr>
        <w:t>,</w:t>
      </w:r>
      <w:r w:rsidR="00527901" w:rsidRPr="00D77892">
        <w:rPr>
          <w:rFonts w:asciiTheme="minorHAnsi" w:hAnsiTheme="minorHAnsi"/>
          <w:sz w:val="22"/>
        </w:rPr>
        <w:t xml:space="preserve"> is one of the greatest challenges </w:t>
      </w:r>
      <w:r w:rsidR="003D3C48">
        <w:rPr>
          <w:rFonts w:asciiTheme="minorHAnsi" w:hAnsiTheme="minorHAnsi"/>
          <w:sz w:val="22"/>
        </w:rPr>
        <w:t>for</w:t>
      </w:r>
      <w:r w:rsidR="00527901" w:rsidRPr="00D77892">
        <w:rPr>
          <w:rFonts w:asciiTheme="minorHAnsi" w:hAnsiTheme="minorHAnsi"/>
          <w:sz w:val="22"/>
        </w:rPr>
        <w:t xml:space="preserve"> DRR</w:t>
      </w:r>
      <w:r w:rsidR="003D3C48">
        <w:rPr>
          <w:rFonts w:asciiTheme="minorHAnsi" w:hAnsiTheme="minorHAnsi"/>
          <w:sz w:val="22"/>
        </w:rPr>
        <w:t>/CCA</w:t>
      </w:r>
      <w:r w:rsidR="00527901" w:rsidRPr="00D77892">
        <w:rPr>
          <w:rFonts w:asciiTheme="minorHAnsi" w:hAnsiTheme="minorHAnsi"/>
          <w:sz w:val="22"/>
        </w:rPr>
        <w:t>. Enforcement and quality control are general</w:t>
      </w:r>
      <w:r w:rsidR="007F5FAB">
        <w:rPr>
          <w:rFonts w:asciiTheme="minorHAnsi" w:hAnsiTheme="minorHAnsi"/>
          <w:sz w:val="22"/>
        </w:rPr>
        <w:t>ly</w:t>
      </w:r>
      <w:r w:rsidR="00527901" w:rsidRPr="00D77892">
        <w:rPr>
          <w:rFonts w:asciiTheme="minorHAnsi" w:hAnsiTheme="minorHAnsi"/>
          <w:sz w:val="22"/>
        </w:rPr>
        <w:t xml:space="preserve"> </w:t>
      </w:r>
      <w:r w:rsidR="007F5FAB">
        <w:rPr>
          <w:rFonts w:asciiTheme="minorHAnsi" w:hAnsiTheme="minorHAnsi"/>
          <w:sz w:val="22"/>
        </w:rPr>
        <w:t xml:space="preserve">the weakest </w:t>
      </w:r>
      <w:r w:rsidR="00527901" w:rsidRPr="00D77892">
        <w:rPr>
          <w:rFonts w:asciiTheme="minorHAnsi" w:hAnsiTheme="minorHAnsi"/>
          <w:sz w:val="22"/>
        </w:rPr>
        <w:t xml:space="preserve">part of the system often due to </w:t>
      </w:r>
      <w:r w:rsidR="004F2E20">
        <w:rPr>
          <w:rFonts w:asciiTheme="minorHAnsi" w:hAnsiTheme="minorHAnsi"/>
          <w:sz w:val="22"/>
        </w:rPr>
        <w:t xml:space="preserve">a </w:t>
      </w:r>
      <w:r w:rsidR="00527901" w:rsidRPr="00D77892">
        <w:rPr>
          <w:rFonts w:asciiTheme="minorHAnsi" w:hAnsiTheme="minorHAnsi"/>
          <w:sz w:val="22"/>
        </w:rPr>
        <w:t xml:space="preserve">lack of human and financial resources and political interference with the regulatory system. In many developing countries, enforcement procedures are weak or non-existent coupled with problems of </w:t>
      </w:r>
      <w:r w:rsidR="00B37725">
        <w:rPr>
          <w:rFonts w:asciiTheme="minorHAnsi" w:hAnsiTheme="minorHAnsi"/>
          <w:sz w:val="22"/>
          <w:u w:val="single"/>
        </w:rPr>
        <w:t xml:space="preserve">weak </w:t>
      </w:r>
      <w:r w:rsidR="00527901" w:rsidRPr="00D77892">
        <w:rPr>
          <w:rFonts w:asciiTheme="minorHAnsi" w:hAnsiTheme="minorHAnsi"/>
          <w:sz w:val="22"/>
          <w:u w:val="single"/>
        </w:rPr>
        <w:t>governance and corruption</w:t>
      </w:r>
      <w:r w:rsidR="00527901" w:rsidRPr="00D77892">
        <w:rPr>
          <w:rFonts w:asciiTheme="minorHAnsi" w:hAnsiTheme="minorHAnsi"/>
          <w:sz w:val="22"/>
        </w:rPr>
        <w:t xml:space="preserve"> leading to an abuse of land-use controls and building permits</w:t>
      </w:r>
      <w:r w:rsidR="003D3C48">
        <w:rPr>
          <w:rFonts w:asciiTheme="minorHAnsi" w:hAnsiTheme="minorHAnsi"/>
          <w:sz w:val="22"/>
        </w:rPr>
        <w:t xml:space="preserve"> (UNDP, 2010</w:t>
      </w:r>
      <w:r w:rsidR="003D3C48" w:rsidRPr="00B37725">
        <w:rPr>
          <w:rFonts w:asciiTheme="minorHAnsi" w:hAnsiTheme="minorHAnsi"/>
          <w:sz w:val="22"/>
        </w:rPr>
        <w:t>). F</w:t>
      </w:r>
      <w:r w:rsidR="003D3C48">
        <w:rPr>
          <w:rFonts w:asciiTheme="minorHAnsi" w:hAnsiTheme="minorHAnsi"/>
          <w:sz w:val="22"/>
        </w:rPr>
        <w:t>urther, monitoring and evaluation (M &amp; E) is important as it helps track implementation of risk informed regulations and codes</w:t>
      </w:r>
      <w:r w:rsidR="007F5FAB">
        <w:rPr>
          <w:rFonts w:asciiTheme="minorHAnsi" w:hAnsiTheme="minorHAnsi"/>
          <w:sz w:val="22"/>
        </w:rPr>
        <w:t xml:space="preserve">, </w:t>
      </w:r>
      <w:r w:rsidR="003D3C48">
        <w:rPr>
          <w:rFonts w:asciiTheme="minorHAnsi" w:hAnsiTheme="minorHAnsi"/>
          <w:sz w:val="22"/>
        </w:rPr>
        <w:t xml:space="preserve">DRR and CCA </w:t>
      </w:r>
      <w:r w:rsidR="007F5FAB">
        <w:rPr>
          <w:rFonts w:asciiTheme="minorHAnsi" w:hAnsiTheme="minorHAnsi"/>
          <w:sz w:val="22"/>
        </w:rPr>
        <w:t>mainstreaming progress</w:t>
      </w:r>
      <w:r w:rsidR="004F2E20">
        <w:rPr>
          <w:rFonts w:asciiTheme="minorHAnsi" w:hAnsiTheme="minorHAnsi"/>
          <w:sz w:val="22"/>
        </w:rPr>
        <w:t>,</w:t>
      </w:r>
      <w:r w:rsidR="007F5FAB">
        <w:rPr>
          <w:rFonts w:asciiTheme="minorHAnsi" w:hAnsiTheme="minorHAnsi"/>
          <w:sz w:val="22"/>
        </w:rPr>
        <w:t xml:space="preserve"> </w:t>
      </w:r>
      <w:r w:rsidR="003D3C48">
        <w:rPr>
          <w:rFonts w:asciiTheme="minorHAnsi" w:hAnsiTheme="minorHAnsi"/>
          <w:sz w:val="22"/>
        </w:rPr>
        <w:t xml:space="preserve">and identifies if projects and programmes are sufficiently risk informed or whether adjustments are needed. </w:t>
      </w:r>
    </w:p>
    <w:p w14:paraId="215F077D" w14:textId="6A8D05E7" w:rsidR="001C3384" w:rsidRDefault="001C3384" w:rsidP="001C3384">
      <w:r w:rsidRPr="00930831">
        <w:rPr>
          <w:noProof/>
          <w:color w:val="ED7D31" w:themeColor="accent2"/>
          <w:lang w:bidi="ar-SA"/>
        </w:rPr>
        <w:drawing>
          <wp:anchor distT="0" distB="0" distL="114300" distR="114300" simplePos="0" relativeHeight="251911168" behindDoc="1" locked="0" layoutInCell="1" allowOverlap="1" wp14:anchorId="363F196C" wp14:editId="4D167A23">
            <wp:simplePos x="0" y="0"/>
            <wp:positionH relativeFrom="column">
              <wp:posOffset>225380</wp:posOffset>
            </wp:positionH>
            <wp:positionV relativeFrom="paragraph">
              <wp:posOffset>175081</wp:posOffset>
            </wp:positionV>
            <wp:extent cx="333375" cy="333375"/>
            <wp:effectExtent l="0" t="0" r="9525" b="9525"/>
            <wp:wrapTight wrapText="bothSides">
              <wp:wrapPolygon edited="0">
                <wp:start x="0" y="0"/>
                <wp:lineTo x="0" y="20983"/>
                <wp:lineTo x="20983" y="20983"/>
                <wp:lineTo x="20983" y="0"/>
                <wp:lineTo x="0" y="0"/>
              </wp:wrapPolygon>
            </wp:wrapTight>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6">
                          <a:shade val="45000"/>
                          <a:satMod val="135000"/>
                        </a:schemeClr>
                        <a:prstClr val="white"/>
                      </a:duotone>
                    </a:blip>
                    <a:stretch>
                      <a:fillRect/>
                    </a:stretch>
                  </pic:blipFill>
                  <pic:spPr>
                    <a:xfrm>
                      <a:off x="0" y="0"/>
                      <a:ext cx="333375" cy="333375"/>
                    </a:xfrm>
                    <a:prstGeom prst="rect">
                      <a:avLst/>
                    </a:prstGeom>
                  </pic:spPr>
                </pic:pic>
              </a:graphicData>
            </a:graphic>
          </wp:anchor>
        </w:drawing>
      </w:r>
    </w:p>
    <w:p w14:paraId="4F3A9391" w14:textId="1C32C211" w:rsidR="00674506" w:rsidRPr="007F5FAB" w:rsidRDefault="001C3384" w:rsidP="003D3C48">
      <w:pPr>
        <w:ind w:left="993"/>
        <w:jc w:val="both"/>
        <w:rPr>
          <w:b/>
          <w:i/>
          <w:color w:val="385623" w:themeColor="accent6" w:themeShade="80"/>
        </w:rPr>
      </w:pPr>
      <w:r w:rsidRPr="007F5FAB">
        <w:rPr>
          <w:b/>
          <w:i/>
          <w:color w:val="385623" w:themeColor="accent6" w:themeShade="80"/>
        </w:rPr>
        <w:t xml:space="preserve">Support for this entry point will: i) </w:t>
      </w:r>
      <w:r w:rsidR="003D3C48" w:rsidRPr="007F5FAB">
        <w:rPr>
          <w:b/>
          <w:i/>
          <w:color w:val="385623" w:themeColor="accent6" w:themeShade="80"/>
        </w:rPr>
        <w:t xml:space="preserve">support enforcement of risk informed legislation; and ii) </w:t>
      </w:r>
      <w:r w:rsidRPr="007F5FAB">
        <w:rPr>
          <w:b/>
          <w:i/>
          <w:color w:val="385623" w:themeColor="accent6" w:themeShade="80"/>
        </w:rPr>
        <w:t>help track and report on mainstreaming progress</w:t>
      </w:r>
      <w:r w:rsidR="007F5FAB">
        <w:rPr>
          <w:b/>
          <w:i/>
          <w:color w:val="385623" w:themeColor="accent6" w:themeShade="80"/>
        </w:rPr>
        <w:t xml:space="preserve"> and risk informed development</w:t>
      </w:r>
      <w:r w:rsidR="003D3C48" w:rsidRPr="007F5FAB">
        <w:rPr>
          <w:b/>
          <w:i/>
          <w:color w:val="385623" w:themeColor="accent6" w:themeShade="80"/>
        </w:rPr>
        <w:t>.</w:t>
      </w:r>
    </w:p>
    <w:p w14:paraId="4708DBD4" w14:textId="77777777" w:rsidR="00674506" w:rsidRPr="00D77892" w:rsidRDefault="00674506" w:rsidP="001C3384">
      <w:pPr>
        <w:pStyle w:val="ListParagraph"/>
        <w:ind w:left="1440"/>
        <w:jc w:val="both"/>
        <w:rPr>
          <w:rFonts w:asciiTheme="minorHAnsi" w:hAnsiTheme="minorHAnsi"/>
          <w:i/>
          <w:sz w:val="22"/>
        </w:rPr>
      </w:pPr>
    </w:p>
    <w:p w14:paraId="27565B19" w14:textId="37F93677" w:rsidR="00674506" w:rsidRDefault="00674506">
      <w:pPr>
        <w:rPr>
          <w:rFonts w:eastAsia="Calibri" w:cs="Times New Roman"/>
          <w:lang w:val="en-GB" w:bidi="ar-SA"/>
        </w:rPr>
      </w:pPr>
      <w:r>
        <w:br w:type="page"/>
      </w:r>
    </w:p>
    <w:p w14:paraId="6EAB3936" w14:textId="0DAE99DD" w:rsidR="002D0C78" w:rsidRPr="00C0469D" w:rsidRDefault="00FB2B8F" w:rsidP="00C0469D">
      <w:pPr>
        <w:pStyle w:val="Heading2"/>
        <w:shd w:val="clear" w:color="auto" w:fill="5B9BD5" w:themeFill="accent1"/>
        <w:rPr>
          <w:color w:val="FFFFFF" w:themeColor="background1"/>
          <w:sz w:val="36"/>
          <w:szCs w:val="36"/>
        </w:rPr>
      </w:pPr>
      <w:bookmarkStart w:id="35" w:name="_Toc451948703"/>
      <w:r>
        <w:rPr>
          <w:noProof/>
          <w:lang w:bidi="ar-SA"/>
        </w:rPr>
        <w:drawing>
          <wp:anchor distT="0" distB="0" distL="114300" distR="114300" simplePos="0" relativeHeight="251959296" behindDoc="0" locked="0" layoutInCell="1" allowOverlap="1" wp14:anchorId="544E7BC7" wp14:editId="4A9EE006">
            <wp:simplePos x="0" y="0"/>
            <wp:positionH relativeFrom="column">
              <wp:posOffset>4210050</wp:posOffset>
            </wp:positionH>
            <wp:positionV relativeFrom="paragraph">
              <wp:posOffset>440055</wp:posOffset>
            </wp:positionV>
            <wp:extent cx="2139696" cy="1207008"/>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696" cy="1207008"/>
                    </a:xfrm>
                    <a:prstGeom prst="rect">
                      <a:avLst/>
                    </a:prstGeom>
                    <a:noFill/>
                  </pic:spPr>
                </pic:pic>
              </a:graphicData>
            </a:graphic>
            <wp14:sizeRelH relativeFrom="margin">
              <wp14:pctWidth>0</wp14:pctWidth>
            </wp14:sizeRelH>
            <wp14:sizeRelV relativeFrom="margin">
              <wp14:pctHeight>0</wp14:pctHeight>
            </wp14:sizeRelV>
          </wp:anchor>
        </w:drawing>
      </w:r>
      <w:r w:rsidR="003174C6" w:rsidRPr="00C0469D">
        <w:rPr>
          <w:color w:val="FFFFFF" w:themeColor="background1"/>
          <w:sz w:val="36"/>
          <w:szCs w:val="36"/>
        </w:rPr>
        <w:t>POLICY</w:t>
      </w:r>
      <w:bookmarkEnd w:id="35"/>
    </w:p>
    <w:p w14:paraId="00ACA04E" w14:textId="5160E7EF" w:rsidR="00E553F8" w:rsidRDefault="00E553F8" w:rsidP="00D73B74">
      <w:pPr>
        <w:jc w:val="both"/>
        <w:rPr>
          <w:b/>
        </w:rPr>
      </w:pPr>
    </w:p>
    <w:p w14:paraId="27BB3B1F" w14:textId="177563B5" w:rsidR="00B665BA" w:rsidRDefault="00B665BA" w:rsidP="00B665BA">
      <w:pPr>
        <w:shd w:val="clear" w:color="auto" w:fill="DEEAF6" w:themeFill="accent1" w:themeFillTint="33"/>
        <w:jc w:val="both"/>
        <w:rPr>
          <w:b/>
        </w:rPr>
      </w:pPr>
      <w:r>
        <w:rPr>
          <w:b/>
        </w:rPr>
        <w:t>PURPOSE:</w:t>
      </w:r>
    </w:p>
    <w:p w14:paraId="40D64D65" w14:textId="2DF94B01" w:rsidR="00AB6820" w:rsidRDefault="00B37725" w:rsidP="00D73B74">
      <w:pPr>
        <w:jc w:val="both"/>
      </w:pPr>
      <w:r>
        <w:rPr>
          <w:b/>
        </w:rPr>
        <w:t>T</w:t>
      </w:r>
      <w:r w:rsidR="00D73B74">
        <w:rPr>
          <w:b/>
        </w:rPr>
        <w:t xml:space="preserve">his component </w:t>
      </w:r>
      <w:r w:rsidR="000F777F">
        <w:rPr>
          <w:b/>
        </w:rPr>
        <w:t>helps to provide</w:t>
      </w:r>
      <w:r w:rsidR="00AB6820">
        <w:rPr>
          <w:b/>
        </w:rPr>
        <w:t xml:space="preserve"> the enabling environment </w:t>
      </w:r>
      <w:r w:rsidR="00AB6820" w:rsidRPr="00236F05">
        <w:rPr>
          <w:b/>
        </w:rPr>
        <w:t>for risk informed</w:t>
      </w:r>
      <w:r w:rsidR="00AB6820">
        <w:t xml:space="preserve"> </w:t>
      </w:r>
      <w:r w:rsidR="00AB6820" w:rsidRPr="00D73B74">
        <w:rPr>
          <w:b/>
        </w:rPr>
        <w:t>development</w:t>
      </w:r>
      <w:r w:rsidR="00AB6820">
        <w:t xml:space="preserve"> by</w:t>
      </w:r>
      <w:r w:rsidR="00AB6820" w:rsidRPr="00BD2F08">
        <w:t xml:space="preserve"> </w:t>
      </w:r>
      <w:r w:rsidR="00114D7A">
        <w:t>promot</w:t>
      </w:r>
      <w:r w:rsidR="00D73B74">
        <w:t>ing</w:t>
      </w:r>
      <w:r w:rsidR="00114D7A">
        <w:t xml:space="preserve"> high level commitment and leadership for risk mainstreaming, </w:t>
      </w:r>
      <w:r w:rsidR="000F777F">
        <w:t>and by contributing</w:t>
      </w:r>
      <w:r w:rsidR="00114D7A">
        <w:t xml:space="preserve"> a comprehensive and supportive legal</w:t>
      </w:r>
      <w:r w:rsidR="00D73B74">
        <w:t>,</w:t>
      </w:r>
      <w:r w:rsidR="00114D7A">
        <w:t xml:space="preserve"> policy</w:t>
      </w:r>
      <w:r w:rsidR="00D73B74">
        <w:t xml:space="preserve"> and planning</w:t>
      </w:r>
      <w:r w:rsidR="00114D7A">
        <w:t xml:space="preserve"> framework.  </w:t>
      </w:r>
      <w:r w:rsidR="008D20B1" w:rsidRPr="00D73B74">
        <w:t xml:space="preserve">Policies, laws and regulations provide the foundation </w:t>
      </w:r>
      <w:r w:rsidR="00D73B74">
        <w:t xml:space="preserve">or “technical architecture” </w:t>
      </w:r>
      <w:r w:rsidR="008D20B1" w:rsidRPr="00D73B74">
        <w:t xml:space="preserve">upon which strategies </w:t>
      </w:r>
      <w:r w:rsidR="00E553F8">
        <w:t xml:space="preserve">and plans </w:t>
      </w:r>
      <w:r w:rsidR="008D20B1" w:rsidRPr="00D73B74">
        <w:t xml:space="preserve">can be built </w:t>
      </w:r>
      <w:r w:rsidR="000B3E63">
        <w:t xml:space="preserve">as the basis for </w:t>
      </w:r>
      <w:r w:rsidR="008D20B1" w:rsidRPr="00D73B74">
        <w:t>integrat</w:t>
      </w:r>
      <w:r w:rsidR="000B3E63">
        <w:t>ing</w:t>
      </w:r>
      <w:r w:rsidR="008D20B1" w:rsidRPr="00D73B74">
        <w:t xml:space="preserve"> risk into development practice</w:t>
      </w:r>
      <w:r w:rsidR="00D73B74">
        <w:t xml:space="preserve"> </w:t>
      </w:r>
      <w:r w:rsidR="008C55C4" w:rsidRPr="00D73B74">
        <w:t>(Lal and Mitchell, 2012)</w:t>
      </w:r>
      <w:r w:rsidR="005B2205">
        <w:t xml:space="preserve">.  </w:t>
      </w:r>
    </w:p>
    <w:p w14:paraId="090BDD6B" w14:textId="273545DD" w:rsidR="00EE05DA" w:rsidRDefault="00EE05DA" w:rsidP="00EE05DA">
      <w:pPr>
        <w:shd w:val="clear" w:color="auto" w:fill="DEEAF6" w:themeFill="accent1" w:themeFillTint="33"/>
        <w:jc w:val="both"/>
        <w:rPr>
          <w:b/>
        </w:rPr>
      </w:pPr>
      <w:r>
        <w:rPr>
          <w:b/>
        </w:rPr>
        <w:t>ENTRY POINT</w:t>
      </w:r>
      <w:r w:rsidR="00640BF0">
        <w:rPr>
          <w:b/>
        </w:rPr>
        <w:t>S</w:t>
      </w:r>
      <w:r>
        <w:rPr>
          <w:b/>
        </w:rPr>
        <w:t>:</w:t>
      </w:r>
    </w:p>
    <w:p w14:paraId="0ECE324A" w14:textId="560748FD" w:rsidR="00114D7A" w:rsidRPr="00E553F8" w:rsidRDefault="00D73B74" w:rsidP="00114D7A">
      <w:pPr>
        <w:jc w:val="both"/>
        <w:rPr>
          <w:b/>
        </w:rPr>
      </w:pPr>
      <w:r w:rsidRPr="00E553F8">
        <w:rPr>
          <w:b/>
        </w:rPr>
        <w:t xml:space="preserve">This component comprises </w:t>
      </w:r>
      <w:r w:rsidR="00640BF0">
        <w:rPr>
          <w:b/>
        </w:rPr>
        <w:t>four main</w:t>
      </w:r>
      <w:r w:rsidRPr="00E553F8">
        <w:rPr>
          <w:b/>
        </w:rPr>
        <w:t xml:space="preserve"> </w:t>
      </w:r>
      <w:r w:rsidR="00B37725">
        <w:rPr>
          <w:b/>
        </w:rPr>
        <w:t>sub-components</w:t>
      </w:r>
      <w:r w:rsidR="00842E2A">
        <w:rPr>
          <w:b/>
        </w:rPr>
        <w:t xml:space="preserve">. </w:t>
      </w:r>
      <w:r w:rsidR="00842E2A">
        <w:t>Mainstreaming will involve support for one or more of the areas of intervention identified below.</w:t>
      </w:r>
    </w:p>
    <w:p w14:paraId="62D213AF" w14:textId="2F370F9C" w:rsidR="00D45764" w:rsidRPr="00271E67" w:rsidRDefault="00114D7A" w:rsidP="00507969">
      <w:pPr>
        <w:pStyle w:val="ListParagraph"/>
        <w:numPr>
          <w:ilvl w:val="0"/>
          <w:numId w:val="14"/>
        </w:numPr>
        <w:jc w:val="both"/>
        <w:rPr>
          <w:i/>
        </w:rPr>
      </w:pPr>
      <w:r w:rsidRPr="00F35F82">
        <w:rPr>
          <w:rFonts w:asciiTheme="minorHAnsi" w:hAnsiTheme="minorHAnsi"/>
          <w:b/>
          <w:sz w:val="22"/>
        </w:rPr>
        <w:t>Leadership</w:t>
      </w:r>
      <w:r w:rsidR="0051576B">
        <w:rPr>
          <w:rFonts w:asciiTheme="minorHAnsi" w:hAnsiTheme="minorHAnsi"/>
          <w:b/>
          <w:sz w:val="22"/>
        </w:rPr>
        <w:t xml:space="preserve"> </w:t>
      </w:r>
      <w:r w:rsidR="00640BF0">
        <w:rPr>
          <w:rFonts w:asciiTheme="minorHAnsi" w:hAnsiTheme="minorHAnsi"/>
          <w:b/>
          <w:sz w:val="22"/>
        </w:rPr>
        <w:t>and</w:t>
      </w:r>
      <w:r w:rsidR="0051576B">
        <w:rPr>
          <w:rFonts w:asciiTheme="minorHAnsi" w:hAnsiTheme="minorHAnsi"/>
          <w:b/>
          <w:sz w:val="22"/>
        </w:rPr>
        <w:t xml:space="preserve"> </w:t>
      </w:r>
      <w:r w:rsidR="00FB2B8F">
        <w:rPr>
          <w:rFonts w:asciiTheme="minorHAnsi" w:hAnsiTheme="minorHAnsi"/>
          <w:b/>
          <w:sz w:val="22"/>
        </w:rPr>
        <w:t>advocacy</w:t>
      </w:r>
      <w:r w:rsidR="00D73B74" w:rsidRPr="00F35F82">
        <w:rPr>
          <w:rFonts w:asciiTheme="minorHAnsi" w:hAnsiTheme="minorHAnsi"/>
          <w:b/>
          <w:sz w:val="22"/>
        </w:rPr>
        <w:t>.</w:t>
      </w:r>
      <w:r w:rsidR="0005460B" w:rsidRPr="00F35F82">
        <w:rPr>
          <w:rFonts w:asciiTheme="minorHAnsi" w:hAnsiTheme="minorHAnsi"/>
          <w:b/>
          <w:sz w:val="22"/>
        </w:rPr>
        <w:t xml:space="preserve"> </w:t>
      </w:r>
      <w:r w:rsidR="00D73B74" w:rsidRPr="00F35F82">
        <w:rPr>
          <w:rFonts w:asciiTheme="minorHAnsi" w:hAnsiTheme="minorHAnsi"/>
          <w:sz w:val="22"/>
        </w:rPr>
        <w:t>L</w:t>
      </w:r>
      <w:r w:rsidR="0005460B" w:rsidRPr="00F35F82">
        <w:rPr>
          <w:rFonts w:asciiTheme="minorHAnsi" w:hAnsiTheme="minorHAnsi"/>
          <w:sz w:val="22"/>
        </w:rPr>
        <w:t xml:space="preserve">eadership, political commitment and </w:t>
      </w:r>
      <w:r w:rsidR="00D73B74" w:rsidRPr="00F35F82">
        <w:rPr>
          <w:rFonts w:asciiTheme="minorHAnsi" w:hAnsiTheme="minorHAnsi"/>
          <w:sz w:val="22"/>
        </w:rPr>
        <w:t xml:space="preserve">political </w:t>
      </w:r>
      <w:r w:rsidR="0005460B" w:rsidRPr="00F35F82">
        <w:rPr>
          <w:rFonts w:asciiTheme="minorHAnsi" w:hAnsiTheme="minorHAnsi"/>
          <w:sz w:val="22"/>
        </w:rPr>
        <w:t>will at all levels are critical for mainstreaming</w:t>
      </w:r>
      <w:r w:rsidR="000F777F">
        <w:rPr>
          <w:rFonts w:asciiTheme="minorHAnsi" w:hAnsiTheme="minorHAnsi"/>
          <w:sz w:val="22"/>
        </w:rPr>
        <w:t>,</w:t>
      </w:r>
      <w:r w:rsidR="00452C43">
        <w:rPr>
          <w:rFonts w:asciiTheme="minorHAnsi" w:hAnsiTheme="minorHAnsi"/>
          <w:sz w:val="22"/>
        </w:rPr>
        <w:t xml:space="preserve"> essential for building support</w:t>
      </w:r>
      <w:r w:rsidR="000F777F">
        <w:rPr>
          <w:rFonts w:asciiTheme="minorHAnsi" w:hAnsiTheme="minorHAnsi"/>
          <w:sz w:val="22"/>
        </w:rPr>
        <w:t xml:space="preserve"> for</w:t>
      </w:r>
      <w:r w:rsidR="0005460B" w:rsidRPr="00F35F82">
        <w:rPr>
          <w:rFonts w:asciiTheme="minorHAnsi" w:hAnsiTheme="minorHAnsi"/>
          <w:sz w:val="22"/>
        </w:rPr>
        <w:t xml:space="preserve"> proactive treatment of risk</w:t>
      </w:r>
      <w:r w:rsidR="00C0469D">
        <w:rPr>
          <w:rFonts w:asciiTheme="minorHAnsi" w:hAnsiTheme="minorHAnsi"/>
          <w:sz w:val="22"/>
        </w:rPr>
        <w:t xml:space="preserve">, and are vital for </w:t>
      </w:r>
      <w:r w:rsidR="00075C15" w:rsidRPr="00F35F82">
        <w:rPr>
          <w:rFonts w:asciiTheme="minorHAnsi" w:hAnsiTheme="minorHAnsi"/>
          <w:sz w:val="22"/>
        </w:rPr>
        <w:t xml:space="preserve">encouraging individuals and communities to take </w:t>
      </w:r>
      <w:r w:rsidR="00E553F8">
        <w:rPr>
          <w:rFonts w:asciiTheme="minorHAnsi" w:hAnsiTheme="minorHAnsi"/>
          <w:sz w:val="22"/>
        </w:rPr>
        <w:t xml:space="preserve">action </w:t>
      </w:r>
      <w:r w:rsidR="000C26B3">
        <w:rPr>
          <w:rFonts w:asciiTheme="minorHAnsi" w:hAnsiTheme="minorHAnsi"/>
          <w:sz w:val="22"/>
        </w:rPr>
        <w:t xml:space="preserve">before disasters (as well as </w:t>
      </w:r>
      <w:r w:rsidR="00075C15" w:rsidRPr="00F35F82">
        <w:rPr>
          <w:rFonts w:asciiTheme="minorHAnsi" w:hAnsiTheme="minorHAnsi"/>
          <w:sz w:val="22"/>
        </w:rPr>
        <w:t>during</w:t>
      </w:r>
      <w:r w:rsidR="000F777F">
        <w:rPr>
          <w:rFonts w:asciiTheme="minorHAnsi" w:hAnsiTheme="minorHAnsi"/>
          <w:sz w:val="22"/>
        </w:rPr>
        <w:t xml:space="preserve"> and after</w:t>
      </w:r>
      <w:r w:rsidR="000C26B3">
        <w:rPr>
          <w:rFonts w:asciiTheme="minorHAnsi" w:hAnsiTheme="minorHAnsi"/>
          <w:sz w:val="22"/>
        </w:rPr>
        <w:t>)</w:t>
      </w:r>
      <w:r w:rsidR="00075C15" w:rsidRPr="00F35F82">
        <w:rPr>
          <w:rFonts w:asciiTheme="minorHAnsi" w:hAnsiTheme="minorHAnsi"/>
          <w:sz w:val="22"/>
        </w:rPr>
        <w:t xml:space="preserve">. </w:t>
      </w:r>
      <w:r w:rsidR="00D73B74" w:rsidRPr="00F35F82">
        <w:rPr>
          <w:rFonts w:asciiTheme="minorHAnsi" w:hAnsiTheme="minorHAnsi"/>
          <w:sz w:val="22"/>
        </w:rPr>
        <w:t xml:space="preserve"> According to the World Bank, “</w:t>
      </w:r>
      <w:r w:rsidR="00D73B74" w:rsidRPr="00F35F82">
        <w:rPr>
          <w:rFonts w:asciiTheme="minorHAnsi" w:hAnsiTheme="minorHAnsi"/>
          <w:i/>
          <w:sz w:val="22"/>
        </w:rPr>
        <w:t>t</w:t>
      </w:r>
      <w:r w:rsidR="00632FDD" w:rsidRPr="00F35F82">
        <w:rPr>
          <w:rFonts w:asciiTheme="minorHAnsi" w:hAnsiTheme="minorHAnsi"/>
          <w:i/>
          <w:sz w:val="22"/>
        </w:rPr>
        <w:t>he most important factor influencing the success of climate change governance to date has been engagement (or not) by top political leader</w:t>
      </w:r>
      <w:r w:rsidR="00D73B74" w:rsidRPr="00F35F82">
        <w:rPr>
          <w:rFonts w:asciiTheme="minorHAnsi" w:hAnsiTheme="minorHAnsi"/>
          <w:i/>
          <w:sz w:val="22"/>
        </w:rPr>
        <w:t>s</w:t>
      </w:r>
      <w:r w:rsidR="00632FDD" w:rsidRPr="00F35F82">
        <w:rPr>
          <w:rFonts w:asciiTheme="minorHAnsi" w:hAnsiTheme="minorHAnsi"/>
          <w:i/>
          <w:sz w:val="22"/>
        </w:rPr>
        <w:t>hip</w:t>
      </w:r>
      <w:r w:rsidR="00632FDD" w:rsidRPr="00F35F82">
        <w:rPr>
          <w:rFonts w:asciiTheme="minorHAnsi" w:hAnsiTheme="minorHAnsi"/>
          <w:sz w:val="22"/>
        </w:rPr>
        <w:t xml:space="preserve"> (2009). </w:t>
      </w:r>
      <w:r w:rsidR="000C26B3">
        <w:rPr>
          <w:rFonts w:asciiTheme="minorHAnsi" w:hAnsiTheme="minorHAnsi"/>
          <w:sz w:val="22"/>
        </w:rPr>
        <w:t>Experience shows that</w:t>
      </w:r>
      <w:r w:rsidR="007B1D0A" w:rsidRPr="00F35F82">
        <w:rPr>
          <w:rFonts w:asciiTheme="minorHAnsi" w:hAnsiTheme="minorHAnsi"/>
          <w:sz w:val="22"/>
        </w:rPr>
        <w:t xml:space="preserve">: </w:t>
      </w:r>
      <w:r w:rsidR="00E553F8">
        <w:rPr>
          <w:rFonts w:asciiTheme="minorHAnsi" w:hAnsiTheme="minorHAnsi"/>
          <w:i/>
          <w:sz w:val="22"/>
        </w:rPr>
        <w:t>“l</w:t>
      </w:r>
      <w:r w:rsidR="007B1D0A" w:rsidRPr="00F35F82">
        <w:rPr>
          <w:rFonts w:asciiTheme="minorHAnsi" w:hAnsiTheme="minorHAnsi"/>
          <w:i/>
          <w:sz w:val="22"/>
        </w:rPr>
        <w:t>eadership is really critical for the mainstream</w:t>
      </w:r>
      <w:r w:rsidR="00B37725">
        <w:rPr>
          <w:rFonts w:asciiTheme="minorHAnsi" w:hAnsiTheme="minorHAnsi"/>
          <w:i/>
          <w:sz w:val="22"/>
        </w:rPr>
        <w:t>ing efforts to bear real fruits”</w:t>
      </w:r>
      <w:r w:rsidR="00B37725">
        <w:rPr>
          <w:rStyle w:val="FootnoteReference"/>
          <w:rFonts w:asciiTheme="minorHAnsi" w:hAnsiTheme="minorHAnsi"/>
          <w:i/>
          <w:sz w:val="22"/>
        </w:rPr>
        <w:footnoteReference w:id="10"/>
      </w:r>
      <w:r w:rsidR="007B1D0A" w:rsidRPr="00E553F8">
        <w:rPr>
          <w:rFonts w:asciiTheme="minorHAnsi" w:hAnsiTheme="minorHAnsi"/>
          <w:sz w:val="22"/>
        </w:rPr>
        <w:t>.</w:t>
      </w:r>
      <w:r w:rsidR="00D45764" w:rsidRPr="00E553F8">
        <w:rPr>
          <w:rFonts w:asciiTheme="minorHAnsi" w:hAnsiTheme="minorHAnsi"/>
          <w:sz w:val="22"/>
        </w:rPr>
        <w:t xml:space="preserve">  </w:t>
      </w:r>
      <w:r w:rsidR="00D45764" w:rsidRPr="00F35F82">
        <w:rPr>
          <w:rFonts w:asciiTheme="minorHAnsi" w:hAnsiTheme="minorHAnsi"/>
          <w:sz w:val="22"/>
        </w:rPr>
        <w:t xml:space="preserve">Although experience is showing that national level champions are essential, increasingly practitioners are identifying that </w:t>
      </w:r>
      <w:r w:rsidR="00D45764" w:rsidRPr="00E553F8">
        <w:rPr>
          <w:rFonts w:asciiTheme="minorHAnsi" w:hAnsiTheme="minorHAnsi"/>
          <w:sz w:val="22"/>
          <w:u w:val="single"/>
        </w:rPr>
        <w:t>community commitment and leadership</w:t>
      </w:r>
      <w:r w:rsidR="00AC6ADE" w:rsidRPr="00F35F82">
        <w:rPr>
          <w:rFonts w:asciiTheme="minorHAnsi" w:hAnsiTheme="minorHAnsi"/>
          <w:sz w:val="22"/>
        </w:rPr>
        <w:t xml:space="preserve"> are </w:t>
      </w:r>
      <w:r w:rsidR="00E553F8">
        <w:rPr>
          <w:rFonts w:asciiTheme="minorHAnsi" w:hAnsiTheme="minorHAnsi"/>
          <w:sz w:val="22"/>
        </w:rPr>
        <w:t xml:space="preserve">also </w:t>
      </w:r>
      <w:r w:rsidR="00AC6ADE" w:rsidRPr="00F35F82">
        <w:rPr>
          <w:rFonts w:asciiTheme="minorHAnsi" w:hAnsiTheme="minorHAnsi"/>
          <w:sz w:val="22"/>
        </w:rPr>
        <w:t xml:space="preserve">essential if development is to be resilient: </w:t>
      </w:r>
      <w:r w:rsidR="00D45764" w:rsidRPr="00F35F82">
        <w:rPr>
          <w:rFonts w:asciiTheme="minorHAnsi" w:hAnsiTheme="minorHAnsi"/>
          <w:i/>
          <w:sz w:val="22"/>
        </w:rPr>
        <w:t>“</w:t>
      </w:r>
      <w:r w:rsidR="00AC6ADE" w:rsidRPr="00F35F82">
        <w:rPr>
          <w:rFonts w:asciiTheme="minorHAnsi" w:hAnsiTheme="minorHAnsi"/>
          <w:i/>
          <w:sz w:val="22"/>
        </w:rPr>
        <w:t>a</w:t>
      </w:r>
      <w:r w:rsidR="00D45764" w:rsidRPr="00F35F82">
        <w:rPr>
          <w:rFonts w:asciiTheme="minorHAnsi" w:hAnsiTheme="minorHAnsi"/>
          <w:i/>
          <w:sz w:val="22"/>
        </w:rPr>
        <w:t>fter all, political commitment alone cannot lead to adaptation and disaster risk reduction at the community level if community leadership is absent.</w:t>
      </w:r>
      <w:r w:rsidR="00E553F8">
        <w:rPr>
          <w:rFonts w:asciiTheme="minorHAnsi" w:hAnsiTheme="minorHAnsi"/>
          <w:i/>
          <w:sz w:val="22"/>
        </w:rPr>
        <w:t xml:space="preserve"> Community leadership is what d</w:t>
      </w:r>
      <w:r w:rsidR="00D45764" w:rsidRPr="00F35F82">
        <w:rPr>
          <w:rFonts w:asciiTheme="minorHAnsi" w:hAnsiTheme="minorHAnsi"/>
          <w:i/>
          <w:sz w:val="22"/>
        </w:rPr>
        <w:t>rives the process in sustaining development programmes”</w:t>
      </w:r>
      <w:r w:rsidR="00B37725">
        <w:rPr>
          <w:rStyle w:val="FootnoteReference"/>
          <w:rFonts w:asciiTheme="minorHAnsi" w:hAnsiTheme="minorHAnsi"/>
          <w:i/>
          <w:sz w:val="22"/>
        </w:rPr>
        <w:footnoteReference w:id="11"/>
      </w:r>
      <w:r w:rsidR="00D45764" w:rsidRPr="00F35F82">
        <w:rPr>
          <w:rFonts w:asciiTheme="minorHAnsi" w:hAnsiTheme="minorHAnsi"/>
          <w:sz w:val="22"/>
        </w:rPr>
        <w:t>.</w:t>
      </w:r>
      <w:r w:rsidR="000F777F">
        <w:rPr>
          <w:rFonts w:asciiTheme="minorHAnsi" w:hAnsiTheme="minorHAnsi"/>
          <w:sz w:val="22"/>
        </w:rPr>
        <w:t xml:space="preserve"> </w:t>
      </w:r>
    </w:p>
    <w:p w14:paraId="2F3E079D" w14:textId="77777777" w:rsidR="00271E67" w:rsidRPr="00271E67" w:rsidRDefault="00271E67" w:rsidP="00271E67">
      <w:pPr>
        <w:pStyle w:val="ListParagraph"/>
        <w:ind w:left="360"/>
        <w:jc w:val="both"/>
        <w:rPr>
          <w:i/>
        </w:rPr>
      </w:pPr>
    </w:p>
    <w:p w14:paraId="55AFD2EC" w14:textId="0F68AA68" w:rsidR="00271E67" w:rsidRPr="00C0469D" w:rsidRDefault="00271E67" w:rsidP="00271E67">
      <w:pPr>
        <w:jc w:val="both"/>
        <w:rPr>
          <w:b/>
          <w:i/>
          <w:color w:val="2E74B5" w:themeColor="accent1" w:themeShade="BF"/>
        </w:rPr>
      </w:pPr>
      <w:r w:rsidRPr="00C0469D">
        <w:rPr>
          <w:b/>
          <w:i/>
          <w:noProof/>
          <w:color w:val="2E74B5" w:themeColor="accent1" w:themeShade="BF"/>
          <w:lang w:bidi="ar-SA"/>
        </w:rPr>
        <w:drawing>
          <wp:anchor distT="0" distB="0" distL="114300" distR="114300" simplePos="0" relativeHeight="251914240" behindDoc="1" locked="0" layoutInCell="1" allowOverlap="1" wp14:anchorId="52A27B03" wp14:editId="333DDE9F">
            <wp:simplePos x="0" y="0"/>
            <wp:positionH relativeFrom="margin">
              <wp:posOffset>295544</wp:posOffset>
            </wp:positionH>
            <wp:positionV relativeFrom="paragraph">
              <wp:posOffset>19059</wp:posOffset>
            </wp:positionV>
            <wp:extent cx="333375" cy="333375"/>
            <wp:effectExtent l="0" t="0" r="9525" b="9525"/>
            <wp:wrapTight wrapText="bothSides">
              <wp:wrapPolygon edited="0">
                <wp:start x="0" y="0"/>
                <wp:lineTo x="0" y="20983"/>
                <wp:lineTo x="20983" y="20983"/>
                <wp:lineTo x="20983" y="0"/>
                <wp:lineTo x="0" y="0"/>
              </wp:wrapPolygon>
            </wp:wrapTight>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anchor>
        </w:drawing>
      </w:r>
      <w:r w:rsidRPr="00C0469D">
        <w:rPr>
          <w:b/>
          <w:i/>
          <w:color w:val="2E74B5" w:themeColor="accent1" w:themeShade="BF"/>
        </w:rPr>
        <w:t>Support for this entry point will</w:t>
      </w:r>
      <w:r w:rsidRPr="00C0469D">
        <w:rPr>
          <w:b/>
          <w:i/>
          <w:noProof/>
          <w:color w:val="2E74B5" w:themeColor="accent1" w:themeShade="BF"/>
          <w:lang w:eastAsia="en-GB"/>
        </w:rPr>
        <w:t xml:space="preserve"> </w:t>
      </w:r>
      <w:r w:rsidRPr="00C0469D">
        <w:rPr>
          <w:b/>
          <w:i/>
          <w:color w:val="2E74B5" w:themeColor="accent1" w:themeShade="BF"/>
        </w:rPr>
        <w:t>build engagement and commitment of senior champions at all levels.</w:t>
      </w:r>
    </w:p>
    <w:p w14:paraId="5CDECDEF" w14:textId="77777777" w:rsidR="00632FDD" w:rsidRPr="00114D7A" w:rsidRDefault="00632FDD" w:rsidP="00632FDD">
      <w:pPr>
        <w:pStyle w:val="ListParagraph"/>
        <w:ind w:left="360"/>
        <w:jc w:val="both"/>
        <w:rPr>
          <w:rFonts w:asciiTheme="minorHAnsi" w:hAnsiTheme="minorHAnsi"/>
          <w:sz w:val="22"/>
        </w:rPr>
      </w:pPr>
    </w:p>
    <w:p w14:paraId="3908C044" w14:textId="322F8709" w:rsidR="00395E11" w:rsidRPr="00271E67" w:rsidRDefault="001E7CFA" w:rsidP="00507969">
      <w:pPr>
        <w:pStyle w:val="ListParagraph"/>
        <w:numPr>
          <w:ilvl w:val="0"/>
          <w:numId w:val="29"/>
        </w:numPr>
        <w:jc w:val="both"/>
        <w:rPr>
          <w:rFonts w:asciiTheme="minorHAnsi" w:hAnsiTheme="minorHAnsi"/>
          <w:sz w:val="22"/>
        </w:rPr>
      </w:pPr>
      <w:r w:rsidRPr="00F16A6C">
        <w:rPr>
          <w:rFonts w:asciiTheme="minorHAnsi" w:hAnsiTheme="minorHAnsi"/>
          <w:b/>
          <w:sz w:val="22"/>
        </w:rPr>
        <w:t>Legislation</w:t>
      </w:r>
      <w:r w:rsidR="0051576B">
        <w:rPr>
          <w:rFonts w:asciiTheme="minorHAnsi" w:hAnsiTheme="minorHAnsi"/>
          <w:b/>
          <w:sz w:val="22"/>
        </w:rPr>
        <w:t xml:space="preserve"> </w:t>
      </w:r>
      <w:r w:rsidR="00640BF0">
        <w:rPr>
          <w:rFonts w:asciiTheme="minorHAnsi" w:hAnsiTheme="minorHAnsi"/>
          <w:b/>
          <w:sz w:val="22"/>
        </w:rPr>
        <w:t>and</w:t>
      </w:r>
      <w:r w:rsidR="0051576B">
        <w:rPr>
          <w:rFonts w:asciiTheme="minorHAnsi" w:hAnsiTheme="minorHAnsi"/>
          <w:b/>
          <w:sz w:val="22"/>
        </w:rPr>
        <w:t xml:space="preserve"> regulations</w:t>
      </w:r>
      <w:r w:rsidRPr="00F16A6C">
        <w:rPr>
          <w:rFonts w:asciiTheme="minorHAnsi" w:hAnsiTheme="minorHAnsi"/>
          <w:b/>
          <w:sz w:val="22"/>
        </w:rPr>
        <w:t xml:space="preserve">: </w:t>
      </w:r>
      <w:r w:rsidR="00395E11" w:rsidRPr="00F16A6C">
        <w:rPr>
          <w:rFonts w:asciiTheme="minorHAnsi" w:hAnsiTheme="minorHAnsi"/>
          <w:sz w:val="22"/>
        </w:rPr>
        <w:t>the legal and regulatory framework establishes a system of accountability for risk reduction and adaptation (</w:t>
      </w:r>
      <w:r w:rsidR="00B37725">
        <w:rPr>
          <w:rFonts w:asciiTheme="minorHAnsi" w:hAnsiTheme="minorHAnsi"/>
          <w:sz w:val="22"/>
        </w:rPr>
        <w:t>IFRC, UNDP 2014</w:t>
      </w:r>
      <w:r w:rsidR="00395E11" w:rsidRPr="00F16A6C">
        <w:rPr>
          <w:rFonts w:asciiTheme="minorHAnsi" w:hAnsiTheme="minorHAnsi"/>
          <w:sz w:val="22"/>
        </w:rPr>
        <w:t xml:space="preserve">).  </w:t>
      </w:r>
      <w:r w:rsidR="00F16A6C">
        <w:rPr>
          <w:rFonts w:asciiTheme="minorHAnsi" w:hAnsiTheme="minorHAnsi"/>
          <w:sz w:val="22"/>
        </w:rPr>
        <w:t>N</w:t>
      </w:r>
      <w:r w:rsidRPr="00F16A6C">
        <w:rPr>
          <w:rFonts w:asciiTheme="minorHAnsi" w:hAnsiTheme="minorHAnsi"/>
          <w:sz w:val="22"/>
        </w:rPr>
        <w:t>ational legal frameworks are important as they provide stakeholders</w:t>
      </w:r>
      <w:r w:rsidR="00E553F8">
        <w:rPr>
          <w:rFonts w:asciiTheme="minorHAnsi" w:hAnsiTheme="minorHAnsi"/>
          <w:sz w:val="22"/>
        </w:rPr>
        <w:t>,</w:t>
      </w:r>
      <w:r w:rsidRPr="00F16A6C">
        <w:rPr>
          <w:rFonts w:asciiTheme="minorHAnsi" w:hAnsiTheme="minorHAnsi"/>
          <w:sz w:val="22"/>
        </w:rPr>
        <w:t xml:space="preserve"> decision makers and practitioners with the rationale, incentive and gu</w:t>
      </w:r>
      <w:r w:rsidR="00B37725">
        <w:rPr>
          <w:rFonts w:asciiTheme="minorHAnsi" w:hAnsiTheme="minorHAnsi"/>
          <w:sz w:val="22"/>
        </w:rPr>
        <w:t>idance for actions</w:t>
      </w:r>
      <w:r w:rsidR="000C26B3">
        <w:rPr>
          <w:rFonts w:asciiTheme="minorHAnsi" w:hAnsiTheme="minorHAnsi"/>
          <w:sz w:val="22"/>
        </w:rPr>
        <w:t>.  T</w:t>
      </w:r>
      <w:r w:rsidR="000F777F">
        <w:rPr>
          <w:rFonts w:asciiTheme="minorHAnsi" w:hAnsiTheme="minorHAnsi"/>
          <w:sz w:val="22"/>
        </w:rPr>
        <w:t>herefore</w:t>
      </w:r>
      <w:r w:rsidR="000C26B3">
        <w:rPr>
          <w:rFonts w:asciiTheme="minorHAnsi" w:hAnsiTheme="minorHAnsi"/>
          <w:sz w:val="22"/>
        </w:rPr>
        <w:t>,</w:t>
      </w:r>
      <w:r w:rsidR="000F777F">
        <w:rPr>
          <w:rFonts w:asciiTheme="minorHAnsi" w:hAnsiTheme="minorHAnsi"/>
          <w:sz w:val="22"/>
        </w:rPr>
        <w:t xml:space="preserve"> </w:t>
      </w:r>
      <w:r w:rsidR="00E553F8">
        <w:rPr>
          <w:rFonts w:asciiTheme="minorHAnsi" w:hAnsiTheme="minorHAnsi"/>
          <w:sz w:val="22"/>
        </w:rPr>
        <w:t xml:space="preserve">risk mainstreaming </w:t>
      </w:r>
      <w:r w:rsidR="000F777F">
        <w:rPr>
          <w:rFonts w:asciiTheme="minorHAnsi" w:hAnsiTheme="minorHAnsi"/>
          <w:sz w:val="22"/>
        </w:rPr>
        <w:t>into these vehicles for change i</w:t>
      </w:r>
      <w:r w:rsidR="00E553F8">
        <w:rPr>
          <w:rFonts w:asciiTheme="minorHAnsi" w:hAnsiTheme="minorHAnsi"/>
          <w:sz w:val="22"/>
        </w:rPr>
        <w:t>s essential</w:t>
      </w:r>
      <w:r w:rsidRPr="00F16A6C">
        <w:rPr>
          <w:rFonts w:asciiTheme="minorHAnsi" w:hAnsiTheme="minorHAnsi"/>
          <w:sz w:val="22"/>
        </w:rPr>
        <w:t xml:space="preserve">. </w:t>
      </w:r>
      <w:r w:rsidR="00E553F8">
        <w:rPr>
          <w:rFonts w:asciiTheme="minorHAnsi" w:hAnsiTheme="minorHAnsi"/>
          <w:sz w:val="22"/>
        </w:rPr>
        <w:t xml:space="preserve"> </w:t>
      </w:r>
      <w:r w:rsidR="00452C43">
        <w:rPr>
          <w:rFonts w:asciiTheme="minorHAnsi" w:hAnsiTheme="minorHAnsi"/>
          <w:sz w:val="22"/>
        </w:rPr>
        <w:t xml:space="preserve">Ideally, both disaster and climate change risk are integrated as part of updates to existing legislation or the development of new national or sector legislation (rather than </w:t>
      </w:r>
      <w:r w:rsidR="00C0469D">
        <w:rPr>
          <w:rFonts w:asciiTheme="minorHAnsi" w:hAnsiTheme="minorHAnsi"/>
          <w:sz w:val="22"/>
        </w:rPr>
        <w:t>developing new</w:t>
      </w:r>
      <w:r w:rsidR="00FD7660">
        <w:rPr>
          <w:rFonts w:asciiTheme="minorHAnsi" w:hAnsiTheme="minorHAnsi"/>
          <w:sz w:val="22"/>
        </w:rPr>
        <w:t xml:space="preserve"> </w:t>
      </w:r>
      <w:r w:rsidR="00452C43">
        <w:rPr>
          <w:rFonts w:asciiTheme="minorHAnsi" w:hAnsiTheme="minorHAnsi"/>
          <w:sz w:val="22"/>
        </w:rPr>
        <w:t xml:space="preserve">“stand alone” legislation for </w:t>
      </w:r>
      <w:r w:rsidR="000C26B3">
        <w:rPr>
          <w:rFonts w:asciiTheme="minorHAnsi" w:hAnsiTheme="minorHAnsi"/>
          <w:sz w:val="22"/>
        </w:rPr>
        <w:t>risk</w:t>
      </w:r>
      <w:r w:rsidR="00FD7660">
        <w:rPr>
          <w:rFonts w:asciiTheme="minorHAnsi" w:hAnsiTheme="minorHAnsi"/>
          <w:sz w:val="22"/>
        </w:rPr>
        <w:t>s</w:t>
      </w:r>
      <w:r w:rsidR="00452C43">
        <w:rPr>
          <w:rFonts w:asciiTheme="minorHAnsi" w:hAnsiTheme="minorHAnsi"/>
          <w:sz w:val="22"/>
        </w:rPr>
        <w:t xml:space="preserve">).  Where separate </w:t>
      </w:r>
      <w:r w:rsidR="00395E11" w:rsidRPr="00F16A6C">
        <w:rPr>
          <w:rFonts w:asciiTheme="minorHAnsi" w:hAnsiTheme="minorHAnsi" w:cs="Calibri"/>
          <w:sz w:val="22"/>
        </w:rPr>
        <w:t>DRM</w:t>
      </w:r>
      <w:r w:rsidR="00E553F8">
        <w:rPr>
          <w:rFonts w:asciiTheme="minorHAnsi" w:hAnsiTheme="minorHAnsi" w:cs="Calibri"/>
          <w:sz w:val="22"/>
        </w:rPr>
        <w:t xml:space="preserve"> and</w:t>
      </w:r>
      <w:r w:rsidR="00395E11" w:rsidRPr="00F16A6C">
        <w:rPr>
          <w:rFonts w:asciiTheme="minorHAnsi" w:hAnsiTheme="minorHAnsi" w:cs="Calibri"/>
          <w:sz w:val="22"/>
        </w:rPr>
        <w:t xml:space="preserve"> climate change </w:t>
      </w:r>
      <w:r w:rsidR="000F777F">
        <w:rPr>
          <w:rFonts w:asciiTheme="minorHAnsi" w:hAnsiTheme="minorHAnsi" w:cs="Calibri"/>
          <w:sz w:val="22"/>
        </w:rPr>
        <w:t xml:space="preserve">legislation </w:t>
      </w:r>
      <w:r w:rsidR="00452C43">
        <w:rPr>
          <w:rFonts w:asciiTheme="minorHAnsi" w:hAnsiTheme="minorHAnsi" w:cs="Calibri"/>
          <w:sz w:val="22"/>
        </w:rPr>
        <w:t xml:space="preserve">exists however, linkages between </w:t>
      </w:r>
      <w:r w:rsidR="00C0469D">
        <w:rPr>
          <w:rFonts w:asciiTheme="minorHAnsi" w:hAnsiTheme="minorHAnsi" w:cs="Calibri"/>
          <w:sz w:val="22"/>
        </w:rPr>
        <w:t xml:space="preserve">these </w:t>
      </w:r>
      <w:r w:rsidR="00452C43">
        <w:rPr>
          <w:rFonts w:asciiTheme="minorHAnsi" w:hAnsiTheme="minorHAnsi" w:cs="Calibri"/>
          <w:sz w:val="22"/>
        </w:rPr>
        <w:t xml:space="preserve">and development regulations </w:t>
      </w:r>
      <w:r w:rsidR="00C0469D">
        <w:rPr>
          <w:rFonts w:asciiTheme="minorHAnsi" w:hAnsiTheme="minorHAnsi" w:cs="Calibri"/>
          <w:sz w:val="22"/>
        </w:rPr>
        <w:t xml:space="preserve">needed to strengthened and their </w:t>
      </w:r>
      <w:r w:rsidR="00FD7660">
        <w:rPr>
          <w:rFonts w:asciiTheme="minorHAnsi" w:hAnsiTheme="minorHAnsi" w:cs="Calibri"/>
          <w:sz w:val="22"/>
        </w:rPr>
        <w:t xml:space="preserve">joint implementation </w:t>
      </w:r>
      <w:r w:rsidR="00C0469D">
        <w:rPr>
          <w:rFonts w:asciiTheme="minorHAnsi" w:hAnsiTheme="minorHAnsi" w:cs="Calibri"/>
          <w:sz w:val="22"/>
        </w:rPr>
        <w:t>supported.</w:t>
      </w:r>
    </w:p>
    <w:p w14:paraId="6B9EE501" w14:textId="77777777" w:rsidR="00271E67" w:rsidRPr="00271E67" w:rsidRDefault="00271E67" w:rsidP="00271E67">
      <w:pPr>
        <w:pStyle w:val="ListParagraph"/>
        <w:ind w:left="360"/>
        <w:jc w:val="both"/>
        <w:rPr>
          <w:rFonts w:asciiTheme="minorHAnsi" w:hAnsiTheme="minorHAnsi"/>
          <w:sz w:val="22"/>
        </w:rPr>
      </w:pPr>
    </w:p>
    <w:p w14:paraId="59ED706A" w14:textId="76350872" w:rsidR="00271E67" w:rsidRPr="00C0469D" w:rsidRDefault="00271E67" w:rsidP="00FD7660">
      <w:pPr>
        <w:pStyle w:val="ListParagraph"/>
        <w:ind w:left="1134"/>
        <w:jc w:val="both"/>
        <w:rPr>
          <w:rFonts w:asciiTheme="minorHAnsi" w:hAnsiTheme="minorHAnsi"/>
          <w:b/>
          <w:color w:val="2E74B5" w:themeColor="accent1" w:themeShade="BF"/>
          <w:sz w:val="22"/>
        </w:rPr>
      </w:pPr>
      <w:r w:rsidRPr="00C0469D">
        <w:rPr>
          <w:b/>
          <w:i/>
          <w:noProof/>
          <w:color w:val="2E74B5" w:themeColor="accent1" w:themeShade="BF"/>
          <w:lang w:val="en-US"/>
        </w:rPr>
        <w:drawing>
          <wp:anchor distT="0" distB="0" distL="114300" distR="114300" simplePos="0" relativeHeight="251916288" behindDoc="1" locked="0" layoutInCell="1" allowOverlap="1" wp14:anchorId="286AE34B" wp14:editId="559156BF">
            <wp:simplePos x="0" y="0"/>
            <wp:positionH relativeFrom="margin">
              <wp:posOffset>244171</wp:posOffset>
            </wp:positionH>
            <wp:positionV relativeFrom="paragraph">
              <wp:posOffset>5867</wp:posOffset>
            </wp:positionV>
            <wp:extent cx="333375" cy="333375"/>
            <wp:effectExtent l="0" t="0" r="9525" b="9525"/>
            <wp:wrapTight wrapText="bothSides">
              <wp:wrapPolygon edited="0">
                <wp:start x="0" y="0"/>
                <wp:lineTo x="0" y="20983"/>
                <wp:lineTo x="20983" y="20983"/>
                <wp:lineTo x="20983" y="0"/>
                <wp:lineTo x="0" y="0"/>
              </wp:wrapPolygon>
            </wp:wrapTight>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14:sizeRelV relativeFrom="margin">
              <wp14:pctHeight>0</wp14:pctHeight>
            </wp14:sizeRelV>
          </wp:anchor>
        </w:drawing>
      </w:r>
      <w:r w:rsidRPr="00C0469D">
        <w:rPr>
          <w:rFonts w:asciiTheme="minorHAnsi" w:hAnsiTheme="minorHAnsi"/>
          <w:b/>
          <w:i/>
          <w:color w:val="2E74B5" w:themeColor="accent1" w:themeShade="BF"/>
          <w:sz w:val="22"/>
        </w:rPr>
        <w:t>Support for this entry point will</w:t>
      </w:r>
      <w:r w:rsidR="00452C43" w:rsidRPr="00C0469D">
        <w:rPr>
          <w:rFonts w:asciiTheme="minorHAnsi" w:hAnsiTheme="minorHAnsi"/>
          <w:b/>
          <w:i/>
          <w:color w:val="2E74B5" w:themeColor="accent1" w:themeShade="BF"/>
          <w:sz w:val="22"/>
        </w:rPr>
        <w:t xml:space="preserve"> </w:t>
      </w:r>
      <w:r w:rsidR="00FD7660" w:rsidRPr="00C0469D">
        <w:rPr>
          <w:rFonts w:asciiTheme="minorHAnsi" w:hAnsiTheme="minorHAnsi"/>
          <w:b/>
          <w:i/>
          <w:color w:val="2E74B5" w:themeColor="accent1" w:themeShade="BF"/>
          <w:sz w:val="22"/>
        </w:rPr>
        <w:t xml:space="preserve">provide the enabling environment for mainstreaming and establish the legal rights of citizens and the duties of the state and other stakeholders </w:t>
      </w:r>
      <w:r w:rsidR="003D22EE">
        <w:rPr>
          <w:rFonts w:asciiTheme="minorHAnsi" w:hAnsiTheme="minorHAnsi"/>
          <w:b/>
          <w:i/>
          <w:color w:val="2E74B5" w:themeColor="accent1" w:themeShade="BF"/>
          <w:sz w:val="22"/>
        </w:rPr>
        <w:t>(</w:t>
      </w:r>
      <w:r w:rsidR="00FD7660" w:rsidRPr="00C0469D">
        <w:rPr>
          <w:rFonts w:asciiTheme="minorHAnsi" w:hAnsiTheme="minorHAnsi"/>
          <w:b/>
          <w:i/>
          <w:color w:val="2E74B5" w:themeColor="accent1" w:themeShade="BF"/>
          <w:sz w:val="22"/>
        </w:rPr>
        <w:t>e.g. private sector</w:t>
      </w:r>
      <w:r w:rsidR="003D22EE">
        <w:rPr>
          <w:rFonts w:asciiTheme="minorHAnsi" w:hAnsiTheme="minorHAnsi"/>
          <w:b/>
          <w:i/>
          <w:color w:val="2E74B5" w:themeColor="accent1" w:themeShade="BF"/>
          <w:sz w:val="22"/>
        </w:rPr>
        <w:t>)</w:t>
      </w:r>
      <w:r w:rsidR="00FD7660" w:rsidRPr="00C0469D">
        <w:rPr>
          <w:rFonts w:asciiTheme="minorHAnsi" w:hAnsiTheme="minorHAnsi"/>
          <w:b/>
          <w:i/>
          <w:color w:val="2E74B5" w:themeColor="accent1" w:themeShade="BF"/>
          <w:sz w:val="22"/>
        </w:rPr>
        <w:t>.  It will help</w:t>
      </w:r>
      <w:r w:rsidR="00452C43" w:rsidRPr="00C0469D">
        <w:rPr>
          <w:rFonts w:asciiTheme="minorHAnsi" w:hAnsiTheme="minorHAnsi"/>
          <w:b/>
          <w:i/>
          <w:color w:val="2E74B5" w:themeColor="accent1" w:themeShade="BF"/>
          <w:sz w:val="22"/>
        </w:rPr>
        <w:t xml:space="preserve"> risk inform</w:t>
      </w:r>
      <w:r w:rsidR="00FD7660" w:rsidRPr="00C0469D">
        <w:rPr>
          <w:rFonts w:asciiTheme="minorHAnsi" w:hAnsiTheme="minorHAnsi"/>
          <w:b/>
          <w:i/>
          <w:color w:val="2E74B5" w:themeColor="accent1" w:themeShade="BF"/>
          <w:sz w:val="22"/>
        </w:rPr>
        <w:t xml:space="preserve"> legislation and regulations, but also support identification of opportunities for linkages and joint implementation. </w:t>
      </w:r>
      <w:r w:rsidR="00452C43" w:rsidRPr="00C0469D">
        <w:rPr>
          <w:rFonts w:asciiTheme="minorHAnsi" w:hAnsiTheme="minorHAnsi"/>
          <w:b/>
          <w:i/>
          <w:color w:val="2E74B5" w:themeColor="accent1" w:themeShade="BF"/>
          <w:sz w:val="22"/>
        </w:rPr>
        <w:t xml:space="preserve"> </w:t>
      </w:r>
    </w:p>
    <w:p w14:paraId="41E361CA" w14:textId="2773F794" w:rsidR="001E7CFA" w:rsidRPr="00F16A6C" w:rsidRDefault="001E7CFA" w:rsidP="00F16A6C">
      <w:pPr>
        <w:pStyle w:val="ListParagraph"/>
        <w:ind w:left="360"/>
        <w:jc w:val="both"/>
        <w:rPr>
          <w:rFonts w:asciiTheme="minorHAnsi" w:hAnsiTheme="minorHAnsi"/>
          <w:sz w:val="22"/>
        </w:rPr>
      </w:pPr>
    </w:p>
    <w:p w14:paraId="06CC8A13" w14:textId="34CB1D84" w:rsidR="00F10C8A" w:rsidRDefault="003A67CF" w:rsidP="00507969">
      <w:pPr>
        <w:pStyle w:val="ListParagraph"/>
        <w:numPr>
          <w:ilvl w:val="0"/>
          <w:numId w:val="29"/>
        </w:numPr>
        <w:jc w:val="both"/>
        <w:rPr>
          <w:rFonts w:asciiTheme="minorHAnsi" w:hAnsiTheme="minorHAnsi"/>
          <w:sz w:val="22"/>
        </w:rPr>
      </w:pPr>
      <w:r>
        <w:rPr>
          <w:rFonts w:asciiTheme="minorHAnsi" w:hAnsiTheme="minorHAnsi"/>
          <w:b/>
          <w:sz w:val="22"/>
        </w:rPr>
        <w:t xml:space="preserve">Policies, </w:t>
      </w:r>
      <w:r w:rsidR="00B922B1">
        <w:rPr>
          <w:rFonts w:asciiTheme="minorHAnsi" w:hAnsiTheme="minorHAnsi"/>
          <w:b/>
          <w:sz w:val="22"/>
        </w:rPr>
        <w:t xml:space="preserve">Strategies </w:t>
      </w:r>
      <w:r w:rsidR="00640BF0">
        <w:rPr>
          <w:rFonts w:asciiTheme="minorHAnsi" w:hAnsiTheme="minorHAnsi"/>
          <w:b/>
          <w:sz w:val="22"/>
        </w:rPr>
        <w:t>and</w:t>
      </w:r>
      <w:r w:rsidR="00B922B1">
        <w:rPr>
          <w:rFonts w:asciiTheme="minorHAnsi" w:hAnsiTheme="minorHAnsi"/>
          <w:b/>
          <w:sz w:val="22"/>
        </w:rPr>
        <w:t xml:space="preserve"> </w:t>
      </w:r>
      <w:r>
        <w:rPr>
          <w:rFonts w:asciiTheme="minorHAnsi" w:hAnsiTheme="minorHAnsi"/>
          <w:b/>
          <w:sz w:val="22"/>
        </w:rPr>
        <w:t>planning</w:t>
      </w:r>
      <w:r w:rsidR="00BC7F3C" w:rsidRPr="00F16A6C">
        <w:rPr>
          <w:rFonts w:asciiTheme="minorHAnsi" w:hAnsiTheme="minorHAnsi"/>
          <w:b/>
          <w:sz w:val="22"/>
        </w:rPr>
        <w:t>:</w:t>
      </w:r>
      <w:r w:rsidR="00F10C8A" w:rsidRPr="00F16A6C">
        <w:rPr>
          <w:rFonts w:asciiTheme="minorHAnsi" w:hAnsiTheme="minorHAnsi"/>
          <w:b/>
          <w:sz w:val="22"/>
        </w:rPr>
        <w:t xml:space="preserve"> </w:t>
      </w:r>
      <w:r w:rsidR="009921ED" w:rsidRPr="00F16A6C">
        <w:rPr>
          <w:rFonts w:asciiTheme="minorHAnsi" w:hAnsiTheme="minorHAnsi"/>
          <w:sz w:val="22"/>
        </w:rPr>
        <w:t>d</w:t>
      </w:r>
      <w:r w:rsidR="00F10C8A" w:rsidRPr="00F16A6C">
        <w:rPr>
          <w:rFonts w:asciiTheme="minorHAnsi" w:hAnsiTheme="minorHAnsi"/>
          <w:sz w:val="22"/>
        </w:rPr>
        <w:t>evelopment planning is guided by annual, medium and long term policy cycles and articulated in policy documents</w:t>
      </w:r>
      <w:r w:rsidR="009921ED" w:rsidRPr="00F16A6C">
        <w:rPr>
          <w:rFonts w:asciiTheme="minorHAnsi" w:hAnsiTheme="minorHAnsi"/>
          <w:sz w:val="22"/>
        </w:rPr>
        <w:t xml:space="preserve"> and implementation </w:t>
      </w:r>
      <w:r w:rsidR="00E553F8">
        <w:rPr>
          <w:rFonts w:asciiTheme="minorHAnsi" w:hAnsiTheme="minorHAnsi"/>
          <w:sz w:val="22"/>
        </w:rPr>
        <w:t xml:space="preserve">strategies or </w:t>
      </w:r>
      <w:r w:rsidR="009921ED" w:rsidRPr="00F16A6C">
        <w:rPr>
          <w:rFonts w:asciiTheme="minorHAnsi" w:hAnsiTheme="minorHAnsi"/>
          <w:sz w:val="22"/>
        </w:rPr>
        <w:t>plans</w:t>
      </w:r>
      <w:r w:rsidR="00F10C8A" w:rsidRPr="00F16A6C">
        <w:rPr>
          <w:rFonts w:asciiTheme="minorHAnsi" w:hAnsiTheme="minorHAnsi"/>
          <w:sz w:val="22"/>
        </w:rPr>
        <w:t>.  Integrating</w:t>
      </w:r>
      <w:r w:rsidR="009921ED" w:rsidRPr="00F16A6C">
        <w:rPr>
          <w:rFonts w:asciiTheme="minorHAnsi" w:hAnsiTheme="minorHAnsi"/>
          <w:sz w:val="22"/>
        </w:rPr>
        <w:t xml:space="preserve"> risk into these policy </w:t>
      </w:r>
      <w:r w:rsidR="00B922B1">
        <w:rPr>
          <w:rFonts w:asciiTheme="minorHAnsi" w:hAnsiTheme="minorHAnsi"/>
          <w:sz w:val="22"/>
        </w:rPr>
        <w:t xml:space="preserve">cycles and documents provides a strong foundation for action. </w:t>
      </w:r>
      <w:r w:rsidR="000C2674">
        <w:rPr>
          <w:rFonts w:asciiTheme="minorHAnsi" w:hAnsiTheme="minorHAnsi"/>
          <w:sz w:val="22"/>
        </w:rPr>
        <w:t>S</w:t>
      </w:r>
      <w:r>
        <w:rPr>
          <w:rFonts w:asciiTheme="minorHAnsi" w:hAnsiTheme="minorHAnsi"/>
          <w:sz w:val="22"/>
        </w:rPr>
        <w:t xml:space="preserve">pecifically, </w:t>
      </w:r>
      <w:r w:rsidRPr="00F16A6C">
        <w:rPr>
          <w:rFonts w:asciiTheme="minorHAnsi" w:hAnsiTheme="minorHAnsi"/>
          <w:sz w:val="22"/>
        </w:rPr>
        <w:t xml:space="preserve">national, sector, sub-national and community development </w:t>
      </w:r>
      <w:r>
        <w:rPr>
          <w:rFonts w:asciiTheme="minorHAnsi" w:hAnsiTheme="minorHAnsi"/>
          <w:sz w:val="22"/>
        </w:rPr>
        <w:t>plans are critical entry points</w:t>
      </w:r>
      <w:r w:rsidRPr="00F16A6C">
        <w:rPr>
          <w:rFonts w:asciiTheme="minorHAnsi" w:hAnsiTheme="minorHAnsi"/>
          <w:sz w:val="22"/>
        </w:rPr>
        <w:t xml:space="preserve"> for mainstreaming</w:t>
      </w:r>
      <w:r>
        <w:rPr>
          <w:rFonts w:asciiTheme="minorHAnsi" w:hAnsiTheme="minorHAnsi"/>
          <w:sz w:val="22"/>
        </w:rPr>
        <w:t xml:space="preserve">; and ideally </w:t>
      </w:r>
      <w:r w:rsidRPr="00F16A6C">
        <w:rPr>
          <w:rFonts w:asciiTheme="minorHAnsi" w:hAnsiTheme="minorHAnsi"/>
          <w:sz w:val="22"/>
        </w:rPr>
        <w:t>civic engagement in planning and decision-making processes</w:t>
      </w:r>
      <w:r>
        <w:rPr>
          <w:rFonts w:asciiTheme="minorHAnsi" w:hAnsiTheme="minorHAnsi"/>
          <w:sz w:val="22"/>
        </w:rPr>
        <w:t xml:space="preserve"> supports a risk informed planning process based on community identifie</w:t>
      </w:r>
      <w:r w:rsidR="000C2674">
        <w:rPr>
          <w:rFonts w:asciiTheme="minorHAnsi" w:hAnsiTheme="minorHAnsi"/>
          <w:sz w:val="22"/>
        </w:rPr>
        <w:t>d</w:t>
      </w:r>
      <w:r>
        <w:rPr>
          <w:rFonts w:asciiTheme="minorHAnsi" w:hAnsiTheme="minorHAnsi"/>
          <w:sz w:val="22"/>
        </w:rPr>
        <w:t xml:space="preserve"> priorities, needs and capacities. </w:t>
      </w:r>
    </w:p>
    <w:p w14:paraId="3C1541F8" w14:textId="77777777" w:rsidR="00271E67" w:rsidRPr="00271E67" w:rsidRDefault="00271E67" w:rsidP="00271E67">
      <w:pPr>
        <w:pStyle w:val="ListParagraph"/>
        <w:ind w:left="360"/>
        <w:jc w:val="both"/>
        <w:rPr>
          <w:rFonts w:asciiTheme="minorHAnsi" w:hAnsiTheme="minorHAnsi"/>
          <w:sz w:val="22"/>
        </w:rPr>
      </w:pPr>
    </w:p>
    <w:p w14:paraId="16909C71" w14:textId="16D2691F" w:rsidR="00271E67" w:rsidRPr="00C0469D" w:rsidRDefault="00271E67" w:rsidP="00211B75">
      <w:pPr>
        <w:pStyle w:val="ListParagraph"/>
        <w:ind w:left="1134"/>
        <w:jc w:val="both"/>
        <w:rPr>
          <w:rFonts w:asciiTheme="minorHAnsi" w:hAnsiTheme="minorHAnsi"/>
          <w:b/>
          <w:color w:val="2E74B5" w:themeColor="accent1" w:themeShade="BF"/>
          <w:sz w:val="22"/>
        </w:rPr>
      </w:pPr>
      <w:r w:rsidRPr="00C0469D">
        <w:rPr>
          <w:b/>
          <w:i/>
          <w:noProof/>
          <w:color w:val="2E74B5" w:themeColor="accent1" w:themeShade="BF"/>
          <w:lang w:val="en-US"/>
        </w:rPr>
        <w:drawing>
          <wp:anchor distT="0" distB="0" distL="114300" distR="114300" simplePos="0" relativeHeight="251918336" behindDoc="1" locked="0" layoutInCell="1" allowOverlap="1" wp14:anchorId="39038A16" wp14:editId="57D54C1A">
            <wp:simplePos x="0" y="0"/>
            <wp:positionH relativeFrom="margin">
              <wp:posOffset>244171</wp:posOffset>
            </wp:positionH>
            <wp:positionV relativeFrom="paragraph">
              <wp:posOffset>5867</wp:posOffset>
            </wp:positionV>
            <wp:extent cx="333375" cy="333375"/>
            <wp:effectExtent l="0" t="0" r="9525" b="9525"/>
            <wp:wrapTight wrapText="bothSides">
              <wp:wrapPolygon edited="0">
                <wp:start x="0" y="0"/>
                <wp:lineTo x="0" y="20983"/>
                <wp:lineTo x="20983" y="20983"/>
                <wp:lineTo x="20983" y="0"/>
                <wp:lineTo x="0" y="0"/>
              </wp:wrapPolygon>
            </wp:wrapTight>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14:sizeRelV relativeFrom="margin">
              <wp14:pctHeight>0</wp14:pctHeight>
            </wp14:sizeRelV>
          </wp:anchor>
        </w:drawing>
      </w:r>
      <w:r w:rsidRPr="00C0469D">
        <w:rPr>
          <w:rFonts w:asciiTheme="minorHAnsi" w:hAnsiTheme="minorHAnsi"/>
          <w:b/>
          <w:i/>
          <w:color w:val="2E74B5" w:themeColor="accent1" w:themeShade="BF"/>
          <w:sz w:val="22"/>
        </w:rPr>
        <w:t>Su</w:t>
      </w:r>
      <w:r w:rsidR="000C2674" w:rsidRPr="00C0469D">
        <w:rPr>
          <w:rFonts w:asciiTheme="minorHAnsi" w:hAnsiTheme="minorHAnsi"/>
          <w:b/>
          <w:i/>
          <w:color w:val="2E74B5" w:themeColor="accent1" w:themeShade="BF"/>
          <w:sz w:val="22"/>
        </w:rPr>
        <w:t xml:space="preserve">pport for this entry point will translate political commitments for DRR and CCA into roadmaps </w:t>
      </w:r>
      <w:r w:rsidR="00211B75">
        <w:rPr>
          <w:rFonts w:asciiTheme="minorHAnsi" w:hAnsiTheme="minorHAnsi"/>
          <w:b/>
          <w:i/>
          <w:color w:val="2E74B5" w:themeColor="accent1" w:themeShade="BF"/>
          <w:sz w:val="22"/>
        </w:rPr>
        <w:t>for action and will identify</w:t>
      </w:r>
      <w:r w:rsidR="000C2674" w:rsidRPr="00C0469D">
        <w:rPr>
          <w:rFonts w:asciiTheme="minorHAnsi" w:hAnsiTheme="minorHAnsi"/>
          <w:b/>
          <w:i/>
          <w:color w:val="2E74B5" w:themeColor="accent1" w:themeShade="BF"/>
          <w:sz w:val="22"/>
        </w:rPr>
        <w:t xml:space="preserve"> activities </w:t>
      </w:r>
      <w:r w:rsidR="00211B75">
        <w:rPr>
          <w:rFonts w:asciiTheme="minorHAnsi" w:hAnsiTheme="minorHAnsi"/>
          <w:b/>
          <w:i/>
          <w:color w:val="2E74B5" w:themeColor="accent1" w:themeShade="BF"/>
          <w:sz w:val="22"/>
        </w:rPr>
        <w:t>(</w:t>
      </w:r>
      <w:r w:rsidR="000C2674" w:rsidRPr="00C0469D">
        <w:rPr>
          <w:rFonts w:asciiTheme="minorHAnsi" w:hAnsiTheme="minorHAnsi"/>
          <w:b/>
          <w:i/>
          <w:color w:val="2E74B5" w:themeColor="accent1" w:themeShade="BF"/>
          <w:sz w:val="22"/>
        </w:rPr>
        <w:t>aligned to development goals</w:t>
      </w:r>
      <w:r w:rsidR="00211B75">
        <w:rPr>
          <w:rFonts w:asciiTheme="minorHAnsi" w:hAnsiTheme="minorHAnsi"/>
          <w:b/>
          <w:i/>
          <w:color w:val="2E74B5" w:themeColor="accent1" w:themeShade="BF"/>
          <w:sz w:val="22"/>
        </w:rPr>
        <w:t xml:space="preserve">) </w:t>
      </w:r>
      <w:r w:rsidR="000C2674" w:rsidRPr="00C0469D">
        <w:rPr>
          <w:rFonts w:asciiTheme="minorHAnsi" w:hAnsiTheme="minorHAnsi"/>
          <w:b/>
          <w:i/>
          <w:color w:val="2E74B5" w:themeColor="accent1" w:themeShade="BF"/>
          <w:sz w:val="22"/>
        </w:rPr>
        <w:t>for delivering risk management objectives</w:t>
      </w:r>
      <w:r w:rsidR="00211B75">
        <w:rPr>
          <w:rFonts w:asciiTheme="minorHAnsi" w:hAnsiTheme="minorHAnsi"/>
          <w:b/>
          <w:i/>
          <w:color w:val="2E74B5" w:themeColor="accent1" w:themeShade="BF"/>
          <w:sz w:val="22"/>
        </w:rPr>
        <w:t xml:space="preserve"> as part of development objectives</w:t>
      </w:r>
      <w:r w:rsidR="000C2674" w:rsidRPr="00C0469D">
        <w:rPr>
          <w:rFonts w:asciiTheme="minorHAnsi" w:hAnsiTheme="minorHAnsi"/>
          <w:b/>
          <w:i/>
          <w:color w:val="2E74B5" w:themeColor="accent1" w:themeShade="BF"/>
          <w:sz w:val="22"/>
        </w:rPr>
        <w:t>.</w:t>
      </w:r>
    </w:p>
    <w:p w14:paraId="44CE4A41" w14:textId="77777777" w:rsidR="00271E67" w:rsidRPr="00F16A6C" w:rsidRDefault="00271E67" w:rsidP="00271E67">
      <w:pPr>
        <w:pStyle w:val="ListParagraph"/>
        <w:ind w:left="360"/>
        <w:jc w:val="both"/>
        <w:rPr>
          <w:rFonts w:asciiTheme="minorHAnsi" w:hAnsiTheme="minorHAnsi"/>
          <w:sz w:val="22"/>
        </w:rPr>
      </w:pPr>
    </w:p>
    <w:p w14:paraId="68CF6746" w14:textId="77777777" w:rsidR="00AC510F" w:rsidRPr="00AC510F" w:rsidRDefault="00AC510F" w:rsidP="00AC510F">
      <w:pPr>
        <w:pStyle w:val="ListParagraph"/>
        <w:rPr>
          <w:rFonts w:asciiTheme="minorHAnsi" w:hAnsiTheme="minorHAnsi"/>
          <w:sz w:val="22"/>
        </w:rPr>
      </w:pPr>
    </w:p>
    <w:p w14:paraId="01A2086B" w14:textId="7A7B8618" w:rsidR="00075C15" w:rsidRPr="006956A9" w:rsidRDefault="006956A9" w:rsidP="00507969">
      <w:pPr>
        <w:pStyle w:val="ListParagraph"/>
        <w:numPr>
          <w:ilvl w:val="0"/>
          <w:numId w:val="29"/>
        </w:numPr>
        <w:jc w:val="both"/>
        <w:rPr>
          <w:rFonts w:asciiTheme="minorHAnsi" w:hAnsiTheme="minorHAnsi"/>
          <w:b/>
          <w:sz w:val="22"/>
          <w:highlight w:val="yellow"/>
        </w:rPr>
      </w:pPr>
      <w:r w:rsidRPr="006956A9">
        <w:rPr>
          <w:rFonts w:asciiTheme="minorHAnsi" w:hAnsiTheme="minorHAnsi"/>
          <w:b/>
          <w:sz w:val="22"/>
          <w:highlight w:val="yellow"/>
        </w:rPr>
        <w:t xml:space="preserve">Standards: </w:t>
      </w:r>
      <w:r w:rsidR="003A67CF" w:rsidRPr="006956A9">
        <w:rPr>
          <w:rFonts w:asciiTheme="minorHAnsi" w:hAnsiTheme="minorHAnsi"/>
          <w:i/>
          <w:sz w:val="22"/>
          <w:highlight w:val="yellow"/>
        </w:rPr>
        <w:t>[</w:t>
      </w:r>
      <w:r w:rsidR="00B37725">
        <w:rPr>
          <w:rFonts w:asciiTheme="minorHAnsi" w:hAnsiTheme="minorHAnsi"/>
          <w:i/>
          <w:sz w:val="22"/>
          <w:highlight w:val="yellow"/>
        </w:rPr>
        <w:t>to be competed</w:t>
      </w:r>
      <w:r w:rsidR="003A67CF" w:rsidRPr="006956A9">
        <w:rPr>
          <w:rFonts w:asciiTheme="minorHAnsi" w:hAnsiTheme="minorHAnsi"/>
          <w:i/>
          <w:sz w:val="22"/>
          <w:highlight w:val="yellow"/>
        </w:rPr>
        <w:t>]</w:t>
      </w:r>
    </w:p>
    <w:p w14:paraId="2CD560AE" w14:textId="77777777" w:rsidR="00271E67" w:rsidRPr="00271E67" w:rsidRDefault="00271E67" w:rsidP="00D25F0D">
      <w:pPr>
        <w:pStyle w:val="ListParagraph"/>
        <w:ind w:left="360"/>
        <w:jc w:val="both"/>
        <w:rPr>
          <w:rFonts w:asciiTheme="minorHAnsi" w:hAnsiTheme="minorHAnsi"/>
          <w:sz w:val="22"/>
        </w:rPr>
      </w:pPr>
    </w:p>
    <w:p w14:paraId="10EAC7E2" w14:textId="77777777" w:rsidR="00271E67" w:rsidRPr="00C0469D" w:rsidRDefault="00271E67" w:rsidP="006956A9">
      <w:pPr>
        <w:pStyle w:val="ListParagraph"/>
        <w:ind w:left="360"/>
        <w:jc w:val="both"/>
        <w:rPr>
          <w:rFonts w:asciiTheme="minorHAnsi" w:hAnsiTheme="minorHAnsi"/>
          <w:b/>
          <w:color w:val="2E74B5" w:themeColor="accent1" w:themeShade="BF"/>
          <w:sz w:val="22"/>
        </w:rPr>
      </w:pPr>
      <w:r w:rsidRPr="00C0469D">
        <w:rPr>
          <w:b/>
          <w:i/>
          <w:noProof/>
          <w:color w:val="2E74B5" w:themeColor="accent1" w:themeShade="BF"/>
          <w:lang w:val="en-US"/>
        </w:rPr>
        <w:drawing>
          <wp:anchor distT="0" distB="0" distL="114300" distR="114300" simplePos="0" relativeHeight="251920384" behindDoc="1" locked="0" layoutInCell="1" allowOverlap="1" wp14:anchorId="7C4A9A9F" wp14:editId="551AC6DD">
            <wp:simplePos x="0" y="0"/>
            <wp:positionH relativeFrom="margin">
              <wp:posOffset>244171</wp:posOffset>
            </wp:positionH>
            <wp:positionV relativeFrom="paragraph">
              <wp:posOffset>5867</wp:posOffset>
            </wp:positionV>
            <wp:extent cx="333375" cy="333375"/>
            <wp:effectExtent l="0" t="0" r="9525" b="9525"/>
            <wp:wrapTight wrapText="bothSides">
              <wp:wrapPolygon edited="0">
                <wp:start x="0" y="0"/>
                <wp:lineTo x="0" y="20983"/>
                <wp:lineTo x="20983" y="20983"/>
                <wp:lineTo x="20983" y="0"/>
                <wp:lineTo x="0" y="0"/>
              </wp:wrapPolygon>
            </wp:wrapTight>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 cy="333375"/>
                    </a:xfrm>
                    <a:prstGeom prst="rect">
                      <a:avLst/>
                    </a:prstGeom>
                  </pic:spPr>
                </pic:pic>
              </a:graphicData>
            </a:graphic>
            <wp14:sizeRelV relativeFrom="margin">
              <wp14:pctHeight>0</wp14:pctHeight>
            </wp14:sizeRelV>
          </wp:anchor>
        </w:drawing>
      </w:r>
      <w:r w:rsidRPr="00C0469D">
        <w:rPr>
          <w:rFonts w:asciiTheme="minorHAnsi" w:hAnsiTheme="minorHAnsi"/>
          <w:b/>
          <w:i/>
          <w:color w:val="2E74B5" w:themeColor="accent1" w:themeShade="BF"/>
          <w:sz w:val="22"/>
        </w:rPr>
        <w:t>Support for this entry point will…</w:t>
      </w:r>
    </w:p>
    <w:p w14:paraId="1A02E652" w14:textId="77777777" w:rsidR="00271E67" w:rsidRPr="00F16A6C" w:rsidRDefault="00271E67" w:rsidP="006956A9">
      <w:pPr>
        <w:pStyle w:val="ListParagraph"/>
        <w:ind w:left="360"/>
        <w:jc w:val="both"/>
        <w:rPr>
          <w:rFonts w:asciiTheme="minorHAnsi" w:hAnsiTheme="minorHAnsi"/>
          <w:sz w:val="22"/>
        </w:rPr>
      </w:pPr>
    </w:p>
    <w:p w14:paraId="3165C5E1" w14:textId="7F4BE4EC" w:rsidR="00271E67" w:rsidRDefault="00271E67">
      <w:pPr>
        <w:rPr>
          <w:rFonts w:eastAsia="Calibri" w:cs="Times New Roman"/>
          <w:b/>
          <w:lang w:val="en-GB" w:bidi="ar-SA"/>
        </w:rPr>
      </w:pPr>
      <w:r>
        <w:rPr>
          <w:b/>
        </w:rPr>
        <w:br w:type="page"/>
      </w:r>
    </w:p>
    <w:p w14:paraId="5AD935B4" w14:textId="28F27E7F" w:rsidR="008970BC" w:rsidRPr="00044117" w:rsidRDefault="006956A9" w:rsidP="00044117">
      <w:pPr>
        <w:pStyle w:val="Heading3"/>
        <w:shd w:val="clear" w:color="auto" w:fill="800080"/>
        <w:rPr>
          <w:color w:val="FFFFFF" w:themeColor="background1"/>
          <w:sz w:val="36"/>
          <w:szCs w:val="36"/>
        </w:rPr>
      </w:pPr>
      <w:bookmarkStart w:id="36" w:name="_Toc451409706"/>
      <w:bookmarkStart w:id="37" w:name="_Toc451948704"/>
      <w:r w:rsidRPr="006956A9">
        <w:rPr>
          <w:noProof/>
          <w:lang w:bidi="ar-SA"/>
        </w:rPr>
        <w:drawing>
          <wp:anchor distT="0" distB="0" distL="114300" distR="114300" simplePos="0" relativeHeight="251921408" behindDoc="1" locked="0" layoutInCell="1" allowOverlap="1" wp14:anchorId="36F1894F" wp14:editId="317F03EE">
            <wp:simplePos x="0" y="0"/>
            <wp:positionH relativeFrom="margin">
              <wp:posOffset>4551796</wp:posOffset>
            </wp:positionH>
            <wp:positionV relativeFrom="paragraph">
              <wp:posOffset>8890</wp:posOffset>
            </wp:positionV>
            <wp:extent cx="2247265" cy="1245235"/>
            <wp:effectExtent l="0" t="0" r="635" b="0"/>
            <wp:wrapTight wrapText="bothSides">
              <wp:wrapPolygon edited="0">
                <wp:start x="0" y="0"/>
                <wp:lineTo x="0" y="21148"/>
                <wp:lineTo x="21423" y="21148"/>
                <wp:lineTo x="21423" y="0"/>
                <wp:lineTo x="0" y="0"/>
              </wp:wrapPolygon>
            </wp:wrapTight>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47265" cy="1245235"/>
                    </a:xfrm>
                    <a:prstGeom prst="rect">
                      <a:avLst/>
                    </a:prstGeom>
                  </pic:spPr>
                </pic:pic>
              </a:graphicData>
            </a:graphic>
            <wp14:sizeRelH relativeFrom="margin">
              <wp14:pctWidth>0</wp14:pctWidth>
            </wp14:sizeRelH>
            <wp14:sizeRelV relativeFrom="margin">
              <wp14:pctHeight>0</wp14:pctHeight>
            </wp14:sizeRelV>
          </wp:anchor>
        </w:drawing>
      </w:r>
      <w:r w:rsidR="004C1EF2" w:rsidRPr="00044117">
        <w:rPr>
          <w:color w:val="FFFFFF" w:themeColor="background1"/>
          <w:sz w:val="36"/>
          <w:szCs w:val="36"/>
        </w:rPr>
        <w:t>FINANCE</w:t>
      </w:r>
      <w:bookmarkEnd w:id="36"/>
      <w:bookmarkEnd w:id="37"/>
    </w:p>
    <w:p w14:paraId="0496FDF4" w14:textId="0A6E40DB" w:rsidR="00AF5271" w:rsidRDefault="00AF5271" w:rsidP="000F384C">
      <w:pPr>
        <w:jc w:val="both"/>
        <w:rPr>
          <w:b/>
        </w:rPr>
      </w:pPr>
    </w:p>
    <w:p w14:paraId="42BAC5DC" w14:textId="762DD4B5" w:rsidR="006956A9" w:rsidRDefault="006956A9" w:rsidP="006956A9">
      <w:pPr>
        <w:shd w:val="clear" w:color="auto" w:fill="FFCCFF"/>
        <w:jc w:val="both"/>
        <w:rPr>
          <w:b/>
        </w:rPr>
      </w:pPr>
      <w:r>
        <w:rPr>
          <w:b/>
        </w:rPr>
        <w:t>PURPOSE:</w:t>
      </w:r>
    </w:p>
    <w:p w14:paraId="4E43B3AF" w14:textId="3740FF88" w:rsidR="000F384C" w:rsidRDefault="00B37725" w:rsidP="000F384C">
      <w:pPr>
        <w:jc w:val="both"/>
      </w:pPr>
      <w:r>
        <w:rPr>
          <w:b/>
        </w:rPr>
        <w:t>The</w:t>
      </w:r>
      <w:r w:rsidR="000F384C" w:rsidRPr="00B15E14">
        <w:rPr>
          <w:b/>
        </w:rPr>
        <w:t xml:space="preserve"> finance component</w:t>
      </w:r>
      <w:r w:rsidR="000F384C" w:rsidRPr="000F384C">
        <w:t xml:space="preserve"> </w:t>
      </w:r>
      <w:r w:rsidR="00365799" w:rsidRPr="006956A9">
        <w:rPr>
          <w:b/>
        </w:rPr>
        <w:t>will provide essential support for impl</w:t>
      </w:r>
      <w:r w:rsidR="007A13E6" w:rsidRPr="006956A9">
        <w:rPr>
          <w:b/>
        </w:rPr>
        <w:t xml:space="preserve">ementation. </w:t>
      </w:r>
      <w:r w:rsidR="007A13E6">
        <w:t xml:space="preserve"> Political commitment</w:t>
      </w:r>
      <w:r w:rsidR="00B77FA2">
        <w:t xml:space="preserve"> and risk informed</w:t>
      </w:r>
      <w:r w:rsidR="00365799">
        <w:t xml:space="preserve"> policies, regulations and projects need to be backed by adequate </w:t>
      </w:r>
      <w:r w:rsidR="00365799" w:rsidRPr="00B77FA2">
        <w:t>resource allocations</w:t>
      </w:r>
      <w:r w:rsidR="00365799">
        <w:t xml:space="preserve"> to enable their implementation</w:t>
      </w:r>
      <w:r w:rsidR="00B77FA2">
        <w:t xml:space="preserve"> (ODI, 2014)</w:t>
      </w:r>
      <w:r w:rsidR="00365799">
        <w:t xml:space="preserve">.  </w:t>
      </w:r>
      <w:r w:rsidR="00DC4CC2">
        <w:t>The budget is the primary political and econ</w:t>
      </w:r>
      <w:r w:rsidR="00EB396F">
        <w:t>omic expression of a government’</w:t>
      </w:r>
      <w:r w:rsidR="00DC4CC2">
        <w:t>s decision</w:t>
      </w:r>
      <w:r w:rsidR="00EB396F">
        <w:t>s</w:t>
      </w:r>
      <w:r w:rsidR="00DC4CC2">
        <w:t xml:space="preserve"> (UNDP/UNEP, 2015).  It includes </w:t>
      </w:r>
      <w:r w:rsidR="00243F4D">
        <w:t>decision</w:t>
      </w:r>
      <w:r w:rsidR="00A85BC1">
        <w:t>s</w:t>
      </w:r>
      <w:r w:rsidR="00243F4D">
        <w:t xml:space="preserve"> </w:t>
      </w:r>
      <w:r w:rsidR="00DC4CC2">
        <w:t xml:space="preserve">on both expenditure and revenue raising and can have a positive or negative effective on </w:t>
      </w:r>
      <w:r w:rsidR="00243F4D">
        <w:t>disaster</w:t>
      </w:r>
      <w:r w:rsidR="00B77FA2">
        <w:t xml:space="preserve"> and climate change</w:t>
      </w:r>
      <w:r w:rsidR="00243F4D">
        <w:t xml:space="preserve"> risk.  For example, positive expenditures include retrofitting housing or forestry management, whereas negative </w:t>
      </w:r>
      <w:r w:rsidR="008D3D2D">
        <w:t>expenditures</w:t>
      </w:r>
      <w:r w:rsidR="00243F4D">
        <w:t xml:space="preserve"> include government-funded land clearance or </w:t>
      </w:r>
      <w:r w:rsidR="00EB396F">
        <w:t>plann</w:t>
      </w:r>
      <w:r w:rsidR="00A7003A">
        <w:t>ed</w:t>
      </w:r>
      <w:r w:rsidR="00EB396F">
        <w:t xml:space="preserve"> </w:t>
      </w:r>
      <w:r w:rsidR="00A7003A">
        <w:t>housing or tourist facilities</w:t>
      </w:r>
      <w:r w:rsidR="00EB396F">
        <w:t xml:space="preserve"> on a floodplain</w:t>
      </w:r>
      <w:r w:rsidR="00A7003A">
        <w:t xml:space="preserve"> or low-lying coastal area</w:t>
      </w:r>
      <w:r w:rsidR="00EB396F">
        <w:t>.  It is important to have d</w:t>
      </w:r>
      <w:r w:rsidR="00365799">
        <w:t>edicated budget lines and funding mechanisms</w:t>
      </w:r>
      <w:r w:rsidR="00EB396F">
        <w:t xml:space="preserve"> for risk</w:t>
      </w:r>
      <w:r w:rsidR="00A7003A">
        <w:t>, but this requires</w:t>
      </w:r>
      <w:r w:rsidR="00EB396F">
        <w:t xml:space="preserve"> </w:t>
      </w:r>
      <w:r w:rsidR="00336EB3">
        <w:rPr>
          <w:u w:val="single"/>
        </w:rPr>
        <w:t>analysing</w:t>
      </w:r>
      <w:r w:rsidR="00336EB3" w:rsidRPr="00222E46">
        <w:t xml:space="preserve"> </w:t>
      </w:r>
      <w:r w:rsidR="00336EB3" w:rsidRPr="00336EB3">
        <w:t>expenditures</w:t>
      </w:r>
      <w:r w:rsidR="00336EB3">
        <w:t xml:space="preserve"> and </w:t>
      </w:r>
      <w:r w:rsidR="00EB396F" w:rsidRPr="00336EB3">
        <w:t>id</w:t>
      </w:r>
      <w:r w:rsidR="009C260D" w:rsidRPr="00336EB3">
        <w:t>entify</w:t>
      </w:r>
      <w:r w:rsidR="00EB396F" w:rsidRPr="00336EB3">
        <w:t>ing</w:t>
      </w:r>
      <w:r w:rsidR="009C260D">
        <w:t xml:space="preserve"> how </w:t>
      </w:r>
      <w:r w:rsidR="00EB396F">
        <w:t xml:space="preserve">resources can be </w:t>
      </w:r>
      <w:r w:rsidR="00EB396F" w:rsidRPr="00EB396F">
        <w:rPr>
          <w:u w:val="single"/>
        </w:rPr>
        <w:t>mobilised</w:t>
      </w:r>
      <w:r w:rsidR="00A7003A">
        <w:t xml:space="preserve"> </w:t>
      </w:r>
      <w:r w:rsidR="00EB396F">
        <w:t>in order that</w:t>
      </w:r>
      <w:r w:rsidR="009C260D" w:rsidRPr="00EB396F">
        <w:t xml:space="preserve"> resource allocation for DRR/CCA can be more effectively mainstreamed into the </w:t>
      </w:r>
      <w:r w:rsidR="009C260D" w:rsidRPr="00EB396F">
        <w:rPr>
          <w:u w:val="single"/>
        </w:rPr>
        <w:t>budgetary process</w:t>
      </w:r>
      <w:r w:rsidR="009C260D" w:rsidRPr="00EB396F">
        <w:t>.</w:t>
      </w:r>
    </w:p>
    <w:p w14:paraId="0A3B98F2" w14:textId="4620A089" w:rsidR="006956A9" w:rsidRPr="006956A9" w:rsidRDefault="006956A9" w:rsidP="006956A9">
      <w:pPr>
        <w:shd w:val="clear" w:color="auto" w:fill="FFCCFF"/>
        <w:jc w:val="both"/>
        <w:rPr>
          <w:b/>
        </w:rPr>
      </w:pPr>
      <w:r w:rsidRPr="006956A9">
        <w:rPr>
          <w:b/>
        </w:rPr>
        <w:t>ENTRY POINTS:</w:t>
      </w:r>
    </w:p>
    <w:p w14:paraId="0CE8E7F5" w14:textId="5122488F" w:rsidR="006956A9" w:rsidRPr="00E553F8" w:rsidRDefault="006956A9" w:rsidP="006956A9">
      <w:pPr>
        <w:jc w:val="both"/>
        <w:rPr>
          <w:b/>
        </w:rPr>
      </w:pPr>
      <w:r w:rsidRPr="00E553F8">
        <w:rPr>
          <w:b/>
        </w:rPr>
        <w:t xml:space="preserve">This component comprises </w:t>
      </w:r>
      <w:r>
        <w:rPr>
          <w:b/>
        </w:rPr>
        <w:t>four main</w:t>
      </w:r>
      <w:r w:rsidRPr="00E553F8">
        <w:rPr>
          <w:b/>
        </w:rPr>
        <w:t xml:space="preserve"> </w:t>
      </w:r>
      <w:r w:rsidR="00F474DC">
        <w:rPr>
          <w:b/>
        </w:rPr>
        <w:t>sub-components</w:t>
      </w:r>
      <w:r w:rsidR="00842E2A">
        <w:rPr>
          <w:b/>
        </w:rPr>
        <w:t xml:space="preserve">. </w:t>
      </w:r>
      <w:r w:rsidR="00842E2A">
        <w:t>Mainstreaming will involve support for one or more of the areas of intervention identified below.</w:t>
      </w:r>
    </w:p>
    <w:p w14:paraId="65A0ED25" w14:textId="071D2649" w:rsidR="00EB396F" w:rsidRDefault="00D63C4B" w:rsidP="009439EC">
      <w:pPr>
        <w:pStyle w:val="ListParagraph"/>
        <w:numPr>
          <w:ilvl w:val="0"/>
          <w:numId w:val="33"/>
        </w:numPr>
        <w:jc w:val="both"/>
        <w:rPr>
          <w:rFonts w:asciiTheme="minorHAnsi" w:hAnsiTheme="minorHAnsi"/>
          <w:sz w:val="22"/>
        </w:rPr>
      </w:pPr>
      <w:r w:rsidRPr="00D63C4B">
        <w:rPr>
          <w:rFonts w:asciiTheme="minorHAnsi" w:hAnsiTheme="minorHAnsi"/>
          <w:b/>
          <w:sz w:val="22"/>
        </w:rPr>
        <w:t xml:space="preserve">Budgeting </w:t>
      </w:r>
      <w:r w:rsidR="003A2364">
        <w:rPr>
          <w:rFonts w:asciiTheme="minorHAnsi" w:hAnsiTheme="minorHAnsi"/>
          <w:b/>
          <w:sz w:val="22"/>
        </w:rPr>
        <w:t xml:space="preserve">and </w:t>
      </w:r>
      <w:r w:rsidRPr="00D63C4B">
        <w:rPr>
          <w:rFonts w:asciiTheme="minorHAnsi" w:hAnsiTheme="minorHAnsi"/>
          <w:b/>
          <w:sz w:val="22"/>
        </w:rPr>
        <w:t>e</w:t>
      </w:r>
      <w:r w:rsidR="00EB396F" w:rsidRPr="00D63C4B">
        <w:rPr>
          <w:rFonts w:asciiTheme="minorHAnsi" w:hAnsiTheme="minorHAnsi"/>
          <w:b/>
          <w:sz w:val="22"/>
        </w:rPr>
        <w:t xml:space="preserve">xpenditure analysis.  </w:t>
      </w:r>
      <w:r w:rsidRPr="00D63C4B">
        <w:rPr>
          <w:rFonts w:asciiTheme="minorHAnsi" w:hAnsiTheme="minorHAnsi"/>
          <w:sz w:val="22"/>
        </w:rPr>
        <w:t xml:space="preserve">Mainstreaming means engaging </w:t>
      </w:r>
      <w:r w:rsidRPr="00D013C2">
        <w:rPr>
          <w:rFonts w:asciiTheme="minorHAnsi" w:hAnsiTheme="minorHAnsi"/>
          <w:sz w:val="22"/>
          <w:u w:val="single"/>
        </w:rPr>
        <w:t>ministries of finance and planning</w:t>
      </w:r>
      <w:r w:rsidRPr="00D63C4B">
        <w:rPr>
          <w:rFonts w:asciiTheme="minorHAnsi" w:hAnsiTheme="minorHAnsi"/>
          <w:sz w:val="22"/>
        </w:rPr>
        <w:t xml:space="preserve"> – the parts of government that determine public expenditure and the fiscal policy that incentivises the private </w:t>
      </w:r>
      <w:r w:rsidR="00B77FA2">
        <w:rPr>
          <w:rFonts w:asciiTheme="minorHAnsi" w:hAnsiTheme="minorHAnsi"/>
          <w:sz w:val="22"/>
        </w:rPr>
        <w:t xml:space="preserve">and public </w:t>
      </w:r>
      <w:r w:rsidRPr="00D63C4B">
        <w:rPr>
          <w:rFonts w:asciiTheme="minorHAnsi" w:hAnsiTheme="minorHAnsi"/>
          <w:sz w:val="22"/>
        </w:rPr>
        <w:t xml:space="preserve">sector (UNDP/UNEP, 2015). Dedicated budget lines and funding mechanisms are essential </w:t>
      </w:r>
      <w:r w:rsidR="00336EB3">
        <w:rPr>
          <w:rFonts w:asciiTheme="minorHAnsi" w:hAnsiTheme="minorHAnsi"/>
          <w:sz w:val="22"/>
        </w:rPr>
        <w:t xml:space="preserve">for </w:t>
      </w:r>
      <w:r w:rsidR="00D013C2">
        <w:rPr>
          <w:rFonts w:asciiTheme="minorHAnsi" w:hAnsiTheme="minorHAnsi"/>
          <w:sz w:val="22"/>
        </w:rPr>
        <w:t>supporting the integration of</w:t>
      </w:r>
      <w:r w:rsidRPr="00D63C4B">
        <w:rPr>
          <w:rFonts w:asciiTheme="minorHAnsi" w:hAnsiTheme="minorHAnsi"/>
          <w:sz w:val="22"/>
        </w:rPr>
        <w:t xml:space="preserve"> DRR and CCA into development policies, plans and programmes. </w:t>
      </w:r>
      <w:r w:rsidR="00D013C2">
        <w:rPr>
          <w:rFonts w:asciiTheme="minorHAnsi" w:hAnsiTheme="minorHAnsi"/>
          <w:sz w:val="22"/>
        </w:rPr>
        <w:t>However, i</w:t>
      </w:r>
      <w:r w:rsidRPr="00D63C4B">
        <w:rPr>
          <w:rFonts w:asciiTheme="minorHAnsi" w:hAnsiTheme="minorHAnsi"/>
          <w:sz w:val="22"/>
        </w:rPr>
        <w:t>nstead of creating separate budgets for risk management, ideally costs should be</w:t>
      </w:r>
      <w:r w:rsidR="00D013C2">
        <w:rPr>
          <w:rFonts w:asciiTheme="minorHAnsi" w:hAnsiTheme="minorHAnsi"/>
          <w:sz w:val="22"/>
        </w:rPr>
        <w:t xml:space="preserve"> calculated as part of existing </w:t>
      </w:r>
      <w:r w:rsidR="00222E46">
        <w:rPr>
          <w:rFonts w:asciiTheme="minorHAnsi" w:hAnsiTheme="minorHAnsi"/>
          <w:sz w:val="22"/>
        </w:rPr>
        <w:t xml:space="preserve">development </w:t>
      </w:r>
      <w:r w:rsidR="00D013C2">
        <w:rPr>
          <w:rFonts w:asciiTheme="minorHAnsi" w:hAnsiTheme="minorHAnsi"/>
          <w:sz w:val="22"/>
        </w:rPr>
        <w:t>budgets</w:t>
      </w:r>
      <w:r w:rsidRPr="00D63C4B">
        <w:rPr>
          <w:rFonts w:asciiTheme="minorHAnsi" w:hAnsiTheme="minorHAnsi"/>
          <w:sz w:val="22"/>
        </w:rPr>
        <w:t xml:space="preserve"> </w:t>
      </w:r>
      <w:r w:rsidR="00D013C2">
        <w:rPr>
          <w:rFonts w:asciiTheme="minorHAnsi" w:hAnsiTheme="minorHAnsi"/>
          <w:sz w:val="22"/>
        </w:rPr>
        <w:t>of policies, plans and programmes (w</w:t>
      </w:r>
      <w:r w:rsidRPr="00D63C4B">
        <w:rPr>
          <w:rFonts w:asciiTheme="minorHAnsi" w:hAnsiTheme="minorHAnsi"/>
          <w:sz w:val="22"/>
        </w:rPr>
        <w:t>ith risk management measures built in and costed within proposals</w:t>
      </w:r>
      <w:r w:rsidR="00D013C2">
        <w:rPr>
          <w:rFonts w:asciiTheme="minorHAnsi" w:hAnsiTheme="minorHAnsi"/>
          <w:sz w:val="22"/>
        </w:rPr>
        <w:t>)</w:t>
      </w:r>
      <w:r w:rsidR="00222E46">
        <w:rPr>
          <w:rFonts w:asciiTheme="minorHAnsi" w:hAnsiTheme="minorHAnsi"/>
          <w:sz w:val="22"/>
        </w:rPr>
        <w:t xml:space="preserve"> including their implementation</w:t>
      </w:r>
      <w:r w:rsidRPr="00D63C4B">
        <w:rPr>
          <w:rFonts w:asciiTheme="minorHAnsi" w:hAnsiTheme="minorHAnsi"/>
          <w:sz w:val="22"/>
        </w:rPr>
        <w:t xml:space="preserve">.  </w:t>
      </w:r>
      <w:r w:rsidR="00D013C2">
        <w:rPr>
          <w:rFonts w:asciiTheme="minorHAnsi" w:hAnsiTheme="minorHAnsi"/>
          <w:sz w:val="22"/>
        </w:rPr>
        <w:t xml:space="preserve">Ideally, </w:t>
      </w:r>
      <w:r w:rsidRPr="00D63C4B">
        <w:rPr>
          <w:rFonts w:asciiTheme="minorHAnsi" w:hAnsiTheme="minorHAnsi"/>
          <w:sz w:val="22"/>
        </w:rPr>
        <w:t xml:space="preserve">budgets for </w:t>
      </w:r>
      <w:r w:rsidRPr="00D013C2">
        <w:rPr>
          <w:rFonts w:asciiTheme="minorHAnsi" w:hAnsiTheme="minorHAnsi"/>
          <w:sz w:val="22"/>
          <w:u w:val="single"/>
        </w:rPr>
        <w:t>recurrent maintenance</w:t>
      </w:r>
      <w:r w:rsidRPr="00D63C4B">
        <w:rPr>
          <w:rFonts w:asciiTheme="minorHAnsi" w:hAnsiTheme="minorHAnsi"/>
          <w:sz w:val="22"/>
        </w:rPr>
        <w:t xml:space="preserve"> costs </w:t>
      </w:r>
      <w:r w:rsidR="00D013C2">
        <w:rPr>
          <w:rFonts w:asciiTheme="minorHAnsi" w:hAnsiTheme="minorHAnsi"/>
          <w:sz w:val="22"/>
        </w:rPr>
        <w:t xml:space="preserve">need to be </w:t>
      </w:r>
      <w:r w:rsidRPr="00D63C4B">
        <w:rPr>
          <w:rFonts w:asciiTheme="minorHAnsi" w:hAnsiTheme="minorHAnsi"/>
          <w:sz w:val="22"/>
        </w:rPr>
        <w:t xml:space="preserve">adequate </w:t>
      </w:r>
      <w:r w:rsidR="00D013C2">
        <w:rPr>
          <w:rFonts w:asciiTheme="minorHAnsi" w:hAnsiTheme="minorHAnsi"/>
          <w:sz w:val="22"/>
        </w:rPr>
        <w:t>and</w:t>
      </w:r>
      <w:r w:rsidRPr="00D63C4B">
        <w:rPr>
          <w:rFonts w:asciiTheme="minorHAnsi" w:hAnsiTheme="minorHAnsi"/>
          <w:sz w:val="22"/>
        </w:rPr>
        <w:t xml:space="preserve"> help enhance resilience of physical structures such as schools or health clinics (UNDP, 2010). Similarly, recurrent costs for regular </w:t>
      </w:r>
      <w:r w:rsidRPr="00D013C2">
        <w:rPr>
          <w:rFonts w:asciiTheme="minorHAnsi" w:hAnsiTheme="minorHAnsi"/>
          <w:sz w:val="22"/>
          <w:u w:val="single"/>
        </w:rPr>
        <w:t>capacity development and training</w:t>
      </w:r>
      <w:r w:rsidRPr="00D63C4B">
        <w:rPr>
          <w:rFonts w:asciiTheme="minorHAnsi" w:hAnsiTheme="minorHAnsi"/>
          <w:sz w:val="22"/>
        </w:rPr>
        <w:t xml:space="preserve"> on risk informed development at all levels is essential.   </w:t>
      </w:r>
      <w:r w:rsidR="00EB396F" w:rsidRPr="00D013C2">
        <w:rPr>
          <w:rFonts w:asciiTheme="minorHAnsi" w:hAnsiTheme="minorHAnsi"/>
          <w:sz w:val="22"/>
          <w:u w:val="single"/>
        </w:rPr>
        <w:t>Analysis</w:t>
      </w:r>
      <w:r w:rsidR="00EB396F" w:rsidRPr="00D63C4B">
        <w:rPr>
          <w:rFonts w:asciiTheme="minorHAnsi" w:hAnsiTheme="minorHAnsi"/>
          <w:sz w:val="22"/>
        </w:rPr>
        <w:t xml:space="preserve"> of CCA and DRR related spending enables decisions to be taken with a clearer understanding of the costs and potential benefits that derive from risk related investments. </w:t>
      </w:r>
      <w:r w:rsidR="00A7003A" w:rsidRPr="00D63C4B">
        <w:rPr>
          <w:rFonts w:asciiTheme="minorHAnsi" w:hAnsiTheme="minorHAnsi"/>
          <w:sz w:val="22"/>
        </w:rPr>
        <w:t>Analysis</w:t>
      </w:r>
      <w:r w:rsidR="00336EB3">
        <w:rPr>
          <w:rFonts w:asciiTheme="minorHAnsi" w:hAnsiTheme="minorHAnsi"/>
          <w:sz w:val="22"/>
        </w:rPr>
        <w:t xml:space="preserve"> provides support and </w:t>
      </w:r>
      <w:r w:rsidR="00EB396F" w:rsidRPr="00D63C4B">
        <w:rPr>
          <w:rFonts w:asciiTheme="minorHAnsi" w:hAnsiTheme="minorHAnsi"/>
          <w:sz w:val="22"/>
        </w:rPr>
        <w:t xml:space="preserve">opportunity to strengthen budget processes for risk and to identify specific entry points for reform.  </w:t>
      </w:r>
      <w:r w:rsidR="00A7003A" w:rsidRPr="00D63C4B">
        <w:rPr>
          <w:rFonts w:asciiTheme="minorHAnsi" w:hAnsiTheme="minorHAnsi"/>
          <w:sz w:val="22"/>
        </w:rPr>
        <w:t>It</w:t>
      </w:r>
      <w:r w:rsidR="00EB396F" w:rsidRPr="00D63C4B">
        <w:rPr>
          <w:rFonts w:asciiTheme="minorHAnsi" w:hAnsiTheme="minorHAnsi"/>
          <w:sz w:val="22"/>
        </w:rPr>
        <w:t xml:space="preserve"> also provide</w:t>
      </w:r>
      <w:r w:rsidR="00A7003A" w:rsidRPr="00D63C4B">
        <w:rPr>
          <w:rFonts w:asciiTheme="minorHAnsi" w:hAnsiTheme="minorHAnsi"/>
          <w:sz w:val="22"/>
        </w:rPr>
        <w:t>s</w:t>
      </w:r>
      <w:r w:rsidR="00EB396F" w:rsidRPr="00D63C4B">
        <w:rPr>
          <w:rFonts w:asciiTheme="minorHAnsi" w:hAnsiTheme="minorHAnsi"/>
          <w:sz w:val="22"/>
        </w:rPr>
        <w:t xml:space="preserve"> a platform for </w:t>
      </w:r>
      <w:r w:rsidR="00FA4788">
        <w:rPr>
          <w:rFonts w:asciiTheme="minorHAnsi" w:hAnsiTheme="minorHAnsi"/>
          <w:sz w:val="22"/>
        </w:rPr>
        <w:t xml:space="preserve">more explicitly allocating and monitoring </w:t>
      </w:r>
      <w:r w:rsidR="00EB396F" w:rsidRPr="00D63C4B">
        <w:rPr>
          <w:rFonts w:asciiTheme="minorHAnsi" w:hAnsiTheme="minorHAnsi"/>
          <w:sz w:val="22"/>
        </w:rPr>
        <w:t xml:space="preserve">resources </w:t>
      </w:r>
      <w:r w:rsidR="00336EB3">
        <w:rPr>
          <w:rFonts w:asciiTheme="minorHAnsi" w:hAnsiTheme="minorHAnsi"/>
          <w:sz w:val="22"/>
        </w:rPr>
        <w:t>for</w:t>
      </w:r>
      <w:r w:rsidR="00EB396F" w:rsidRPr="00D63C4B">
        <w:rPr>
          <w:rFonts w:asciiTheme="minorHAnsi" w:hAnsiTheme="minorHAnsi"/>
          <w:sz w:val="22"/>
        </w:rPr>
        <w:t xml:space="preserve"> DRR/CCA </w:t>
      </w:r>
      <w:r w:rsidR="00FA4788">
        <w:rPr>
          <w:rFonts w:asciiTheme="minorHAnsi" w:hAnsiTheme="minorHAnsi"/>
          <w:sz w:val="22"/>
        </w:rPr>
        <w:t>to</w:t>
      </w:r>
      <w:r w:rsidR="00EB396F" w:rsidRPr="00D63C4B">
        <w:rPr>
          <w:rFonts w:asciiTheme="minorHAnsi" w:hAnsiTheme="minorHAnsi"/>
          <w:sz w:val="22"/>
        </w:rPr>
        <w:t xml:space="preserve"> the national budgeting process.  </w:t>
      </w:r>
    </w:p>
    <w:p w14:paraId="5129DF13" w14:textId="77777777" w:rsidR="001A31A6" w:rsidRDefault="001A31A6" w:rsidP="00177405">
      <w:pPr>
        <w:jc w:val="both"/>
        <w:rPr>
          <w:i/>
        </w:rPr>
      </w:pPr>
      <w:r w:rsidRPr="006B53DD">
        <w:rPr>
          <w:i/>
          <w:noProof/>
          <w:color w:val="ED7D31" w:themeColor="accent2"/>
          <w:lang w:bidi="ar-SA"/>
        </w:rPr>
        <w:drawing>
          <wp:anchor distT="0" distB="0" distL="114300" distR="114300" simplePos="0" relativeHeight="251923456" behindDoc="1" locked="0" layoutInCell="1" allowOverlap="1" wp14:anchorId="0981848B" wp14:editId="0C0EFAFA">
            <wp:simplePos x="0" y="0"/>
            <wp:positionH relativeFrom="margin">
              <wp:posOffset>186967</wp:posOffset>
            </wp:positionH>
            <wp:positionV relativeFrom="paragraph">
              <wp:posOffset>209263</wp:posOffset>
            </wp:positionV>
            <wp:extent cx="333375" cy="333375"/>
            <wp:effectExtent l="0" t="0" r="9525" b="9525"/>
            <wp:wrapTight wrapText="bothSides">
              <wp:wrapPolygon edited="0">
                <wp:start x="0" y="0"/>
                <wp:lineTo x="0" y="20983"/>
                <wp:lineTo x="20983" y="20983"/>
                <wp:lineTo x="20983" y="0"/>
                <wp:lineTo x="0" y="0"/>
              </wp:wrapPolygon>
            </wp:wrapTight>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duotone>
                        <a:prstClr val="black"/>
                        <a:srgbClr val="800080">
                          <a:tint val="45000"/>
                          <a:satMod val="400000"/>
                        </a:srgbClr>
                      </a:duotone>
                      <a:extLst>
                        <a:ext uri="{BEBA8EAE-BF5A-486C-A8C5-ECC9F3942E4B}">
                          <a14:imgProps xmlns:a14="http://schemas.microsoft.com/office/drawing/2010/main">
                            <a14:imgLayer r:embed="rId18">
                              <a14:imgEffect>
                                <a14:colorTemperature colorTemp="6498"/>
                              </a14:imgEffect>
                            </a14:imgLayer>
                          </a14:imgProps>
                        </a:ext>
                      </a:extLst>
                    </a:blip>
                    <a:stretch>
                      <a:fillRect/>
                    </a:stretch>
                  </pic:blipFill>
                  <pic:spPr>
                    <a:xfrm>
                      <a:off x="0" y="0"/>
                      <a:ext cx="333375" cy="333375"/>
                    </a:xfrm>
                    <a:prstGeom prst="rect">
                      <a:avLst/>
                    </a:prstGeom>
                    <a:blipFill>
                      <a:blip r:embed="rId19"/>
                      <a:tile tx="0" ty="0" sx="100000" sy="100000" flip="none" algn="tl"/>
                    </a:blipFill>
                    <a:ln>
                      <a:noFill/>
                    </a:ln>
                  </pic:spPr>
                </pic:pic>
              </a:graphicData>
            </a:graphic>
            <wp14:sizeRelV relativeFrom="margin">
              <wp14:pctHeight>0</wp14:pctHeight>
            </wp14:sizeRelV>
          </wp:anchor>
        </w:drawing>
      </w:r>
      <w:r>
        <w:rPr>
          <w:i/>
        </w:rPr>
        <w:t xml:space="preserve"> </w:t>
      </w:r>
    </w:p>
    <w:p w14:paraId="49D82161" w14:textId="4789035A" w:rsidR="00EB396F" w:rsidRPr="003A2364" w:rsidRDefault="001A31A6" w:rsidP="00D013C2">
      <w:pPr>
        <w:jc w:val="both"/>
        <w:rPr>
          <w:b/>
          <w:color w:val="800080"/>
        </w:rPr>
      </w:pPr>
      <w:r w:rsidRPr="003A2364">
        <w:rPr>
          <w:b/>
          <w:i/>
          <w:color w:val="800080"/>
        </w:rPr>
        <w:t>Support for this entry point wil</w:t>
      </w:r>
      <w:r w:rsidR="00D013C2" w:rsidRPr="003A2364">
        <w:rPr>
          <w:b/>
          <w:i/>
          <w:color w:val="800080"/>
        </w:rPr>
        <w:t>l strengthen budget processes for risk and ensure that risk management is</w:t>
      </w:r>
      <w:r w:rsidR="003A2364">
        <w:rPr>
          <w:b/>
          <w:i/>
          <w:color w:val="800080"/>
        </w:rPr>
        <w:t xml:space="preserve"> costed as part of mainstream development budgets.</w:t>
      </w:r>
    </w:p>
    <w:p w14:paraId="78E0E496" w14:textId="0A6E0D06" w:rsidR="004B0AAA" w:rsidRDefault="00DC568F" w:rsidP="004B0AAA">
      <w:pPr>
        <w:pStyle w:val="ListParagraph"/>
        <w:numPr>
          <w:ilvl w:val="0"/>
          <w:numId w:val="15"/>
        </w:numPr>
        <w:jc w:val="both"/>
        <w:rPr>
          <w:rFonts w:ascii="Calibri" w:hAnsi="Calibri"/>
          <w:sz w:val="22"/>
        </w:rPr>
      </w:pPr>
      <w:r w:rsidRPr="00DC568F">
        <w:rPr>
          <w:rFonts w:asciiTheme="minorHAnsi" w:hAnsiTheme="minorHAnsi"/>
          <w:b/>
          <w:sz w:val="22"/>
        </w:rPr>
        <w:t xml:space="preserve">Resource mobilisation. </w:t>
      </w:r>
      <w:r w:rsidR="00D013C2">
        <w:rPr>
          <w:rFonts w:ascii="Calibri" w:hAnsi="Calibri"/>
          <w:sz w:val="22"/>
        </w:rPr>
        <w:t xml:space="preserve">Funding is a major challenge to implementation.  Mobilisation </w:t>
      </w:r>
      <w:r w:rsidR="009B2E4B">
        <w:rPr>
          <w:rFonts w:asciiTheme="minorHAnsi" w:hAnsiTheme="minorHAnsi"/>
          <w:sz w:val="22"/>
        </w:rPr>
        <w:t xml:space="preserve">involves </w:t>
      </w:r>
      <w:r w:rsidR="00F94C35">
        <w:rPr>
          <w:rFonts w:asciiTheme="minorHAnsi" w:hAnsiTheme="minorHAnsi"/>
          <w:sz w:val="22"/>
        </w:rPr>
        <w:t>identifying resources from</w:t>
      </w:r>
      <w:r w:rsidR="009A1FBC">
        <w:rPr>
          <w:rFonts w:asciiTheme="minorHAnsi" w:hAnsiTheme="minorHAnsi"/>
          <w:sz w:val="22"/>
        </w:rPr>
        <w:t xml:space="preserve"> pub</w:t>
      </w:r>
      <w:r w:rsidR="00F94C35">
        <w:rPr>
          <w:rFonts w:asciiTheme="minorHAnsi" w:hAnsiTheme="minorHAnsi"/>
          <w:sz w:val="22"/>
        </w:rPr>
        <w:t xml:space="preserve">lic and private </w:t>
      </w:r>
      <w:r w:rsidR="009A1FBC">
        <w:rPr>
          <w:rFonts w:asciiTheme="minorHAnsi" w:hAnsiTheme="minorHAnsi"/>
          <w:sz w:val="22"/>
        </w:rPr>
        <w:t>funding (national</w:t>
      </w:r>
      <w:r w:rsidR="00F94C35">
        <w:rPr>
          <w:rFonts w:asciiTheme="minorHAnsi" w:hAnsiTheme="minorHAnsi"/>
          <w:sz w:val="22"/>
        </w:rPr>
        <w:t>, regional</w:t>
      </w:r>
      <w:r w:rsidR="009A1FBC">
        <w:rPr>
          <w:rFonts w:asciiTheme="minorHAnsi" w:hAnsiTheme="minorHAnsi"/>
          <w:sz w:val="22"/>
        </w:rPr>
        <w:t xml:space="preserve"> and international) for the implementation of risk informed </w:t>
      </w:r>
      <w:r w:rsidR="009B2E4B">
        <w:rPr>
          <w:rFonts w:asciiTheme="minorHAnsi" w:hAnsiTheme="minorHAnsi"/>
          <w:sz w:val="22"/>
        </w:rPr>
        <w:t xml:space="preserve">legislation, policies, </w:t>
      </w:r>
      <w:r w:rsidR="009A1FBC">
        <w:rPr>
          <w:rFonts w:asciiTheme="minorHAnsi" w:hAnsiTheme="minorHAnsi"/>
          <w:sz w:val="22"/>
        </w:rPr>
        <w:t xml:space="preserve">projects and programmes.  </w:t>
      </w:r>
      <w:r w:rsidRPr="00DC568F">
        <w:rPr>
          <w:rFonts w:asciiTheme="minorHAnsi" w:hAnsiTheme="minorHAnsi"/>
          <w:sz w:val="22"/>
        </w:rPr>
        <w:t xml:space="preserve">A clear understanding of the economic impact of disasters on development goals </w:t>
      </w:r>
      <w:r w:rsidR="00EB396F">
        <w:rPr>
          <w:rFonts w:asciiTheme="minorHAnsi" w:hAnsiTheme="minorHAnsi"/>
          <w:sz w:val="22"/>
        </w:rPr>
        <w:t>(and if necessary the cost-benefit ratio</w:t>
      </w:r>
      <w:r w:rsidRPr="00DC568F">
        <w:rPr>
          <w:rFonts w:asciiTheme="minorHAnsi" w:hAnsiTheme="minorHAnsi"/>
          <w:sz w:val="22"/>
        </w:rPr>
        <w:t xml:space="preserve"> for DRR</w:t>
      </w:r>
      <w:r w:rsidR="00EB396F">
        <w:rPr>
          <w:rFonts w:asciiTheme="minorHAnsi" w:hAnsiTheme="minorHAnsi"/>
          <w:sz w:val="22"/>
        </w:rPr>
        <w:t>/CCA</w:t>
      </w:r>
      <w:r w:rsidRPr="00DC568F">
        <w:rPr>
          <w:rFonts w:asciiTheme="minorHAnsi" w:hAnsiTheme="minorHAnsi"/>
          <w:sz w:val="22"/>
        </w:rPr>
        <w:t xml:space="preserve"> investments</w:t>
      </w:r>
      <w:r w:rsidR="00EB396F">
        <w:rPr>
          <w:rFonts w:asciiTheme="minorHAnsi" w:hAnsiTheme="minorHAnsi"/>
          <w:sz w:val="22"/>
        </w:rPr>
        <w:t xml:space="preserve">) may </w:t>
      </w:r>
      <w:r w:rsidRPr="00DC568F">
        <w:rPr>
          <w:rFonts w:asciiTheme="minorHAnsi" w:hAnsiTheme="minorHAnsi"/>
          <w:sz w:val="22"/>
        </w:rPr>
        <w:t xml:space="preserve">be required for stakeholders to make concrete financial commitments (UNDP, 2010).  </w:t>
      </w:r>
      <w:r w:rsidR="00FA6107">
        <w:rPr>
          <w:rFonts w:asciiTheme="minorHAnsi" w:hAnsiTheme="minorHAnsi"/>
          <w:sz w:val="22"/>
        </w:rPr>
        <w:t xml:space="preserve">Strengthening processes and mechanisms for effectively managing financial resources can </w:t>
      </w:r>
      <w:r w:rsidR="00336EB3">
        <w:rPr>
          <w:rFonts w:asciiTheme="minorHAnsi" w:hAnsiTheme="minorHAnsi"/>
          <w:sz w:val="22"/>
        </w:rPr>
        <w:t>also increase</w:t>
      </w:r>
      <w:r w:rsidR="00FA6107">
        <w:rPr>
          <w:rFonts w:asciiTheme="minorHAnsi" w:hAnsiTheme="minorHAnsi"/>
          <w:sz w:val="22"/>
        </w:rPr>
        <w:t xml:space="preserve"> access to climate finance.</w:t>
      </w:r>
    </w:p>
    <w:p w14:paraId="3484B348" w14:textId="3232AACA" w:rsidR="001A31A6" w:rsidRDefault="001A31A6" w:rsidP="001A31A6">
      <w:pPr>
        <w:jc w:val="both"/>
        <w:rPr>
          <w:rFonts w:ascii="Calibri" w:hAnsi="Calibri"/>
        </w:rPr>
      </w:pPr>
    </w:p>
    <w:p w14:paraId="4E443B20" w14:textId="49AA14D5" w:rsidR="001A31A6" w:rsidRPr="003A2364" w:rsidRDefault="001A31A6" w:rsidP="003A2364">
      <w:pPr>
        <w:ind w:left="851"/>
        <w:jc w:val="both"/>
        <w:rPr>
          <w:b/>
          <w:color w:val="800080"/>
        </w:rPr>
      </w:pPr>
      <w:r w:rsidRPr="003A2364">
        <w:rPr>
          <w:b/>
          <w:i/>
          <w:noProof/>
          <w:color w:val="800080"/>
          <w:lang w:bidi="ar-SA"/>
        </w:rPr>
        <w:drawing>
          <wp:anchor distT="0" distB="0" distL="114300" distR="114300" simplePos="0" relativeHeight="251925504" behindDoc="1" locked="0" layoutInCell="1" allowOverlap="1" wp14:anchorId="29F3A08B" wp14:editId="30C17A05">
            <wp:simplePos x="0" y="0"/>
            <wp:positionH relativeFrom="margin">
              <wp:posOffset>115910</wp:posOffset>
            </wp:positionH>
            <wp:positionV relativeFrom="paragraph">
              <wp:posOffset>7020</wp:posOffset>
            </wp:positionV>
            <wp:extent cx="333375" cy="333375"/>
            <wp:effectExtent l="0" t="0" r="9525" b="9525"/>
            <wp:wrapTight wrapText="bothSides">
              <wp:wrapPolygon edited="0">
                <wp:start x="0" y="0"/>
                <wp:lineTo x="0" y="20983"/>
                <wp:lineTo x="20983" y="20983"/>
                <wp:lineTo x="20983" y="0"/>
                <wp:lineTo x="0" y="0"/>
              </wp:wrapPolygon>
            </wp:wrapTight>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duotone>
                        <a:prstClr val="black"/>
                        <a:srgbClr val="800080">
                          <a:tint val="45000"/>
                          <a:satMod val="400000"/>
                        </a:srgbClr>
                      </a:duotone>
                      <a:extLst>
                        <a:ext uri="{BEBA8EAE-BF5A-486C-A8C5-ECC9F3942E4B}">
                          <a14:imgProps xmlns:a14="http://schemas.microsoft.com/office/drawing/2010/main">
                            <a14:imgLayer r:embed="rId18">
                              <a14:imgEffect>
                                <a14:colorTemperature colorTemp="6498"/>
                              </a14:imgEffect>
                            </a14:imgLayer>
                          </a14:imgProps>
                        </a:ext>
                      </a:extLst>
                    </a:blip>
                    <a:stretch>
                      <a:fillRect/>
                    </a:stretch>
                  </pic:blipFill>
                  <pic:spPr>
                    <a:xfrm>
                      <a:off x="0" y="0"/>
                      <a:ext cx="333375" cy="333375"/>
                    </a:xfrm>
                    <a:prstGeom prst="rect">
                      <a:avLst/>
                    </a:prstGeom>
                    <a:blipFill>
                      <a:blip r:embed="rId19"/>
                      <a:tile tx="0" ty="0" sx="100000" sy="100000" flip="none" algn="tl"/>
                    </a:blipFill>
                    <a:ln>
                      <a:noFill/>
                    </a:ln>
                  </pic:spPr>
                </pic:pic>
              </a:graphicData>
            </a:graphic>
            <wp14:sizeRelV relativeFrom="margin">
              <wp14:pctHeight>0</wp14:pctHeight>
            </wp14:sizeRelV>
          </wp:anchor>
        </w:drawing>
      </w:r>
      <w:r w:rsidRPr="003A2364">
        <w:rPr>
          <w:b/>
          <w:i/>
          <w:color w:val="800080"/>
        </w:rPr>
        <w:t>S</w:t>
      </w:r>
      <w:r w:rsidR="00D013C2" w:rsidRPr="003A2364">
        <w:rPr>
          <w:b/>
          <w:i/>
          <w:color w:val="800080"/>
        </w:rPr>
        <w:t xml:space="preserve">upport for this entry point will mobilise resources from </w:t>
      </w:r>
      <w:r w:rsidR="003A2364">
        <w:rPr>
          <w:b/>
          <w:i/>
          <w:color w:val="800080"/>
        </w:rPr>
        <w:t xml:space="preserve">key stakeholders including </w:t>
      </w:r>
      <w:r w:rsidR="00D013C2" w:rsidRPr="003A2364">
        <w:rPr>
          <w:b/>
          <w:i/>
          <w:color w:val="800080"/>
        </w:rPr>
        <w:t>government, civil society, development partners, multilateral banks</w:t>
      </w:r>
      <w:r w:rsidR="003A2364">
        <w:rPr>
          <w:b/>
          <w:i/>
          <w:color w:val="800080"/>
        </w:rPr>
        <w:t xml:space="preserve"> and</w:t>
      </w:r>
      <w:r w:rsidR="00D013C2" w:rsidRPr="003A2364">
        <w:rPr>
          <w:b/>
          <w:i/>
          <w:color w:val="800080"/>
        </w:rPr>
        <w:t xml:space="preserve"> the private sector for risk informed development.</w:t>
      </w:r>
    </w:p>
    <w:p w14:paraId="57E4C88D" w14:textId="77777777" w:rsidR="00DC568F" w:rsidRPr="00DC568F" w:rsidRDefault="00DC568F" w:rsidP="00DC568F">
      <w:pPr>
        <w:pStyle w:val="ListParagraph"/>
        <w:ind w:left="360"/>
        <w:jc w:val="both"/>
        <w:rPr>
          <w:rFonts w:asciiTheme="minorHAnsi" w:hAnsiTheme="minorHAnsi"/>
          <w:sz w:val="22"/>
        </w:rPr>
      </w:pPr>
    </w:p>
    <w:p w14:paraId="54E1F14E" w14:textId="5DA652BD" w:rsidR="007B2047" w:rsidRPr="001A31A6" w:rsidRDefault="007B2047" w:rsidP="00507969">
      <w:pPr>
        <w:pStyle w:val="ListParagraph"/>
        <w:numPr>
          <w:ilvl w:val="0"/>
          <w:numId w:val="33"/>
        </w:numPr>
        <w:jc w:val="both"/>
        <w:rPr>
          <w:rFonts w:asciiTheme="minorHAnsi" w:hAnsiTheme="minorHAnsi"/>
          <w:b/>
          <w:sz w:val="22"/>
        </w:rPr>
      </w:pPr>
      <w:r w:rsidRPr="00DC568F">
        <w:rPr>
          <w:rFonts w:asciiTheme="minorHAnsi" w:hAnsiTheme="minorHAnsi"/>
          <w:b/>
          <w:sz w:val="22"/>
        </w:rPr>
        <w:t>Risk financing and transfers.</w:t>
      </w:r>
      <w:r w:rsidR="00F22EC1">
        <w:rPr>
          <w:rFonts w:asciiTheme="minorHAnsi" w:hAnsiTheme="minorHAnsi"/>
          <w:b/>
          <w:sz w:val="22"/>
        </w:rPr>
        <w:t xml:space="preserve">  </w:t>
      </w:r>
      <w:r w:rsidR="00F22EC1">
        <w:rPr>
          <w:rFonts w:asciiTheme="minorHAnsi" w:hAnsiTheme="minorHAnsi"/>
          <w:sz w:val="22"/>
        </w:rPr>
        <w:t xml:space="preserve">New and dedicated funds are needed for the promotion and </w:t>
      </w:r>
      <w:r w:rsidR="00D97682">
        <w:rPr>
          <w:rFonts w:asciiTheme="minorHAnsi" w:hAnsiTheme="minorHAnsi"/>
          <w:sz w:val="22"/>
        </w:rPr>
        <w:t>maintenance</w:t>
      </w:r>
      <w:r w:rsidR="00F22EC1">
        <w:rPr>
          <w:rFonts w:asciiTheme="minorHAnsi" w:hAnsiTheme="minorHAnsi"/>
          <w:sz w:val="22"/>
        </w:rPr>
        <w:t xml:space="preserve"> of specific </w:t>
      </w:r>
      <w:r w:rsidR="00D97682">
        <w:rPr>
          <w:rFonts w:asciiTheme="minorHAnsi" w:hAnsiTheme="minorHAnsi"/>
          <w:sz w:val="22"/>
        </w:rPr>
        <w:t xml:space="preserve">disaster and climate </w:t>
      </w:r>
      <w:r w:rsidR="00F22EC1">
        <w:rPr>
          <w:rFonts w:asciiTheme="minorHAnsi" w:hAnsiTheme="minorHAnsi"/>
          <w:sz w:val="22"/>
        </w:rPr>
        <w:t>risk management interventions</w:t>
      </w:r>
      <w:r w:rsidR="00D97682">
        <w:rPr>
          <w:rFonts w:asciiTheme="minorHAnsi" w:hAnsiTheme="minorHAnsi"/>
          <w:sz w:val="22"/>
        </w:rPr>
        <w:t>.</w:t>
      </w:r>
      <w:r w:rsidR="00F22EC1">
        <w:rPr>
          <w:rFonts w:asciiTheme="minorHAnsi" w:hAnsiTheme="minorHAnsi"/>
          <w:sz w:val="22"/>
        </w:rPr>
        <w:t xml:space="preserve"> </w:t>
      </w:r>
      <w:r w:rsidR="00B933A0">
        <w:rPr>
          <w:rFonts w:asciiTheme="minorHAnsi" w:hAnsiTheme="minorHAnsi"/>
          <w:sz w:val="22"/>
        </w:rPr>
        <w:t xml:space="preserve">It is important that the government assess the finance gap faced by stakeholders for DRR (before and after a disaster).  This will identify risk financing and transfer tools needed to meet the needs of the most financially vulnerable populations and segments of the economy…… </w:t>
      </w:r>
      <w:r w:rsidR="00D97682">
        <w:rPr>
          <w:rFonts w:asciiTheme="minorHAnsi" w:hAnsiTheme="minorHAnsi"/>
          <w:sz w:val="22"/>
        </w:rPr>
        <w:t xml:space="preserve"> </w:t>
      </w:r>
      <w:r w:rsidR="00D97682">
        <w:rPr>
          <w:rFonts w:asciiTheme="minorHAnsi" w:hAnsiTheme="minorHAnsi"/>
          <w:i/>
          <w:sz w:val="22"/>
        </w:rPr>
        <w:t>[</w:t>
      </w:r>
      <w:r w:rsidR="00F474DC">
        <w:rPr>
          <w:rFonts w:asciiTheme="minorHAnsi" w:hAnsiTheme="minorHAnsi"/>
          <w:i/>
          <w:sz w:val="22"/>
          <w:highlight w:val="yellow"/>
        </w:rPr>
        <w:t>to be completed</w:t>
      </w:r>
      <w:r w:rsidR="00D97682" w:rsidRPr="00D97682">
        <w:rPr>
          <w:rFonts w:asciiTheme="minorHAnsi" w:hAnsiTheme="minorHAnsi"/>
          <w:i/>
          <w:sz w:val="22"/>
          <w:highlight w:val="yellow"/>
        </w:rPr>
        <w:t>]</w:t>
      </w:r>
    </w:p>
    <w:p w14:paraId="1224EAFF" w14:textId="77777777" w:rsidR="001A31A6" w:rsidRPr="00B31630" w:rsidRDefault="001A31A6" w:rsidP="001A31A6">
      <w:pPr>
        <w:pStyle w:val="ListParagraph"/>
        <w:ind w:left="360"/>
        <w:jc w:val="both"/>
        <w:rPr>
          <w:rFonts w:asciiTheme="minorHAnsi" w:hAnsiTheme="minorHAnsi"/>
          <w:b/>
          <w:sz w:val="22"/>
        </w:rPr>
      </w:pPr>
    </w:p>
    <w:p w14:paraId="574D1841" w14:textId="77777777" w:rsidR="001A31A6" w:rsidRPr="003A2364" w:rsidRDefault="001A31A6" w:rsidP="001A31A6">
      <w:pPr>
        <w:pStyle w:val="ListParagraph"/>
        <w:ind w:left="360"/>
        <w:jc w:val="both"/>
        <w:rPr>
          <w:rFonts w:asciiTheme="minorHAnsi" w:hAnsiTheme="minorHAnsi"/>
          <w:b/>
          <w:color w:val="800080"/>
          <w:sz w:val="22"/>
        </w:rPr>
      </w:pPr>
      <w:r w:rsidRPr="003A2364">
        <w:rPr>
          <w:rFonts w:asciiTheme="minorHAnsi" w:hAnsiTheme="minorHAnsi"/>
          <w:b/>
          <w:noProof/>
          <w:color w:val="800080"/>
          <w:sz w:val="22"/>
          <w:lang w:val="en-US"/>
        </w:rPr>
        <w:drawing>
          <wp:anchor distT="0" distB="0" distL="114300" distR="114300" simplePos="0" relativeHeight="251929600" behindDoc="1" locked="0" layoutInCell="1" allowOverlap="1" wp14:anchorId="43A85E5D" wp14:editId="2D38ED14">
            <wp:simplePos x="0" y="0"/>
            <wp:positionH relativeFrom="margin">
              <wp:posOffset>115910</wp:posOffset>
            </wp:positionH>
            <wp:positionV relativeFrom="paragraph">
              <wp:posOffset>7020</wp:posOffset>
            </wp:positionV>
            <wp:extent cx="333375" cy="333375"/>
            <wp:effectExtent l="0" t="0" r="9525" b="9525"/>
            <wp:wrapTight wrapText="bothSides">
              <wp:wrapPolygon edited="0">
                <wp:start x="0" y="0"/>
                <wp:lineTo x="0" y="20983"/>
                <wp:lineTo x="20983" y="20983"/>
                <wp:lineTo x="20983" y="0"/>
                <wp:lineTo x="0" y="0"/>
              </wp:wrapPolygon>
            </wp:wrapTight>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duotone>
                        <a:prstClr val="black"/>
                        <a:srgbClr val="800080">
                          <a:tint val="45000"/>
                          <a:satMod val="400000"/>
                        </a:srgbClr>
                      </a:duotone>
                      <a:extLst>
                        <a:ext uri="{BEBA8EAE-BF5A-486C-A8C5-ECC9F3942E4B}">
                          <a14:imgProps xmlns:a14="http://schemas.microsoft.com/office/drawing/2010/main">
                            <a14:imgLayer r:embed="rId18">
                              <a14:imgEffect>
                                <a14:colorTemperature colorTemp="6498"/>
                              </a14:imgEffect>
                            </a14:imgLayer>
                          </a14:imgProps>
                        </a:ext>
                      </a:extLst>
                    </a:blip>
                    <a:stretch>
                      <a:fillRect/>
                    </a:stretch>
                  </pic:blipFill>
                  <pic:spPr>
                    <a:xfrm>
                      <a:off x="0" y="0"/>
                      <a:ext cx="333375" cy="333375"/>
                    </a:xfrm>
                    <a:prstGeom prst="rect">
                      <a:avLst/>
                    </a:prstGeom>
                    <a:blipFill>
                      <a:blip r:embed="rId19"/>
                      <a:tile tx="0" ty="0" sx="100000" sy="100000" flip="none" algn="tl"/>
                    </a:blipFill>
                    <a:ln>
                      <a:noFill/>
                    </a:ln>
                  </pic:spPr>
                </pic:pic>
              </a:graphicData>
            </a:graphic>
            <wp14:sizeRelV relativeFrom="margin">
              <wp14:pctHeight>0</wp14:pctHeight>
            </wp14:sizeRelV>
          </wp:anchor>
        </w:drawing>
      </w:r>
      <w:r w:rsidRPr="003A2364">
        <w:rPr>
          <w:rFonts w:asciiTheme="minorHAnsi" w:hAnsiTheme="minorHAnsi"/>
          <w:b/>
          <w:i/>
          <w:color w:val="800080"/>
          <w:sz w:val="22"/>
        </w:rPr>
        <w:t>Support for this entry point will…</w:t>
      </w:r>
    </w:p>
    <w:p w14:paraId="657EEE73" w14:textId="6CF604CB" w:rsidR="00B31630" w:rsidRDefault="00B31630" w:rsidP="00B31630">
      <w:pPr>
        <w:jc w:val="both"/>
        <w:rPr>
          <w:b/>
        </w:rPr>
      </w:pPr>
    </w:p>
    <w:p w14:paraId="34DDFA32" w14:textId="50C102A3" w:rsidR="00B31630" w:rsidRDefault="00B31630" w:rsidP="00176BDE">
      <w:pPr>
        <w:pStyle w:val="ListParagraph"/>
        <w:numPr>
          <w:ilvl w:val="0"/>
          <w:numId w:val="33"/>
        </w:numPr>
        <w:jc w:val="both"/>
        <w:rPr>
          <w:rFonts w:asciiTheme="minorHAnsi" w:hAnsiTheme="minorHAnsi"/>
          <w:sz w:val="22"/>
        </w:rPr>
      </w:pPr>
      <w:r w:rsidRPr="006331BB">
        <w:rPr>
          <w:rFonts w:asciiTheme="minorHAnsi" w:hAnsiTheme="minorHAnsi"/>
          <w:b/>
          <w:sz w:val="22"/>
        </w:rPr>
        <w:t xml:space="preserve">Risk informing investments.  </w:t>
      </w:r>
      <w:r w:rsidRPr="006331BB">
        <w:rPr>
          <w:rFonts w:asciiTheme="minorHAnsi" w:eastAsiaTheme="minorEastAsia" w:hAnsiTheme="minorHAnsi" w:cstheme="minorBidi"/>
          <w:b/>
          <w:sz w:val="22"/>
          <w:lang w:val="en-US" w:bidi="km-KH"/>
        </w:rPr>
        <w:t xml:space="preserve"> </w:t>
      </w:r>
      <w:r w:rsidR="006331BB" w:rsidRPr="006331BB">
        <w:rPr>
          <w:rFonts w:asciiTheme="minorHAnsi" w:eastAsiaTheme="minorEastAsia" w:hAnsiTheme="minorHAnsi" w:cstheme="minorBidi"/>
          <w:sz w:val="22"/>
          <w:lang w:val="en-US" w:bidi="km-KH"/>
        </w:rPr>
        <w:t xml:space="preserve">Strengthening this entry point </w:t>
      </w:r>
      <w:r w:rsidR="006331BB">
        <w:rPr>
          <w:rFonts w:asciiTheme="minorHAnsi" w:eastAsiaTheme="minorEastAsia" w:hAnsiTheme="minorHAnsi" w:cstheme="minorBidi"/>
          <w:sz w:val="22"/>
          <w:lang w:val="en-US" w:bidi="km-KH"/>
        </w:rPr>
        <w:t>is central to mainstreaming and requires risk asse</w:t>
      </w:r>
      <w:r w:rsidR="003A2364">
        <w:rPr>
          <w:rFonts w:asciiTheme="minorHAnsi" w:eastAsiaTheme="minorEastAsia" w:hAnsiTheme="minorHAnsi" w:cstheme="minorBidi"/>
          <w:sz w:val="22"/>
          <w:lang w:val="en-US" w:bidi="km-KH"/>
        </w:rPr>
        <w:t>ssment, screening and appraisal</w:t>
      </w:r>
      <w:r w:rsidR="006331BB">
        <w:rPr>
          <w:rFonts w:asciiTheme="minorHAnsi" w:eastAsiaTheme="minorEastAsia" w:hAnsiTheme="minorHAnsi" w:cstheme="minorBidi"/>
          <w:sz w:val="22"/>
          <w:lang w:val="en-US" w:bidi="km-KH"/>
        </w:rPr>
        <w:t xml:space="preserve"> to ensure that new or existing development investments do not create new risks or increase existing risks</w:t>
      </w:r>
      <w:r w:rsidRPr="006331BB">
        <w:rPr>
          <w:rFonts w:asciiTheme="minorHAnsi" w:hAnsiTheme="minorHAnsi"/>
          <w:sz w:val="22"/>
        </w:rPr>
        <w:t xml:space="preserve">. </w:t>
      </w:r>
      <w:r w:rsidR="006331BB">
        <w:rPr>
          <w:rFonts w:asciiTheme="minorHAnsi" w:hAnsiTheme="minorHAnsi"/>
          <w:sz w:val="22"/>
        </w:rPr>
        <w:t xml:space="preserve">For significant investments, </w:t>
      </w:r>
      <w:r w:rsidRPr="006331BB">
        <w:rPr>
          <w:rFonts w:asciiTheme="minorHAnsi" w:hAnsiTheme="minorHAnsi"/>
          <w:sz w:val="22"/>
        </w:rPr>
        <w:t>cost-benefit analysis can show that</w:t>
      </w:r>
      <w:r w:rsidR="003A2364">
        <w:rPr>
          <w:rFonts w:asciiTheme="minorHAnsi" w:hAnsiTheme="minorHAnsi"/>
          <w:sz w:val="22"/>
        </w:rPr>
        <w:t xml:space="preserve"> the long-term benefit of risk-informing</w:t>
      </w:r>
      <w:r w:rsidRPr="006331BB">
        <w:rPr>
          <w:rFonts w:asciiTheme="minorHAnsi" w:hAnsiTheme="minorHAnsi"/>
          <w:sz w:val="22"/>
        </w:rPr>
        <w:t xml:space="preserve"> these investments are very </w:t>
      </w:r>
      <w:r w:rsidR="006331BB">
        <w:rPr>
          <w:rFonts w:asciiTheme="minorHAnsi" w:hAnsiTheme="minorHAnsi"/>
          <w:sz w:val="22"/>
        </w:rPr>
        <w:t>significant</w:t>
      </w:r>
      <w:r w:rsidRPr="006331BB">
        <w:rPr>
          <w:rFonts w:asciiTheme="minorHAnsi" w:hAnsiTheme="minorHAnsi"/>
          <w:sz w:val="22"/>
        </w:rPr>
        <w:t xml:space="preserve"> for hazard prone areas compared to the cost of development setbacks and reconstruction. </w:t>
      </w:r>
      <w:r w:rsidR="006331BB">
        <w:rPr>
          <w:rFonts w:asciiTheme="minorHAnsi" w:hAnsiTheme="minorHAnsi"/>
          <w:sz w:val="22"/>
        </w:rPr>
        <w:t xml:space="preserve">This entry point is closely related to </w:t>
      </w:r>
      <w:r w:rsidR="00A143CB">
        <w:rPr>
          <w:rFonts w:asciiTheme="minorHAnsi" w:hAnsiTheme="minorHAnsi"/>
          <w:sz w:val="22"/>
        </w:rPr>
        <w:t xml:space="preserve">capacity building of planners to risk inform the </w:t>
      </w:r>
      <w:r w:rsidR="003A2364">
        <w:rPr>
          <w:rFonts w:asciiTheme="minorHAnsi" w:hAnsiTheme="minorHAnsi"/>
          <w:sz w:val="22"/>
        </w:rPr>
        <w:t xml:space="preserve">project </w:t>
      </w:r>
      <w:r w:rsidR="00A143CB">
        <w:rPr>
          <w:rFonts w:asciiTheme="minorHAnsi" w:hAnsiTheme="minorHAnsi"/>
          <w:sz w:val="22"/>
        </w:rPr>
        <w:t>planning process but also training of contractors involved in project implementation (e.g. engineers, builders)</w:t>
      </w:r>
      <w:r w:rsidR="003A2364">
        <w:rPr>
          <w:rFonts w:asciiTheme="minorHAnsi" w:hAnsiTheme="minorHAnsi"/>
          <w:sz w:val="22"/>
        </w:rPr>
        <w:t xml:space="preserve"> and capacity development of planners involved in</w:t>
      </w:r>
      <w:r w:rsidR="00E61ACF">
        <w:rPr>
          <w:rFonts w:asciiTheme="minorHAnsi" w:hAnsiTheme="minorHAnsi"/>
          <w:sz w:val="22"/>
        </w:rPr>
        <w:t xml:space="preserve"> post implementation monitoring and evaluation.</w:t>
      </w:r>
      <w:r w:rsidR="00A143CB">
        <w:rPr>
          <w:rFonts w:asciiTheme="minorHAnsi" w:hAnsiTheme="minorHAnsi"/>
          <w:sz w:val="22"/>
        </w:rPr>
        <w:t xml:space="preserve">   </w:t>
      </w:r>
    </w:p>
    <w:p w14:paraId="469D11C8" w14:textId="77777777" w:rsidR="00A143CB" w:rsidRPr="006331BB" w:rsidRDefault="00A143CB" w:rsidP="00A143CB">
      <w:pPr>
        <w:pStyle w:val="ListParagraph"/>
        <w:ind w:left="360"/>
        <w:jc w:val="both"/>
        <w:rPr>
          <w:rFonts w:asciiTheme="minorHAnsi" w:hAnsiTheme="minorHAnsi"/>
          <w:sz w:val="22"/>
        </w:rPr>
      </w:pPr>
    </w:p>
    <w:p w14:paraId="2D5806B7" w14:textId="309B1F51" w:rsidR="001A31A6" w:rsidRPr="003A2364" w:rsidRDefault="001A31A6" w:rsidP="00A143CB">
      <w:pPr>
        <w:tabs>
          <w:tab w:val="left" w:pos="993"/>
        </w:tabs>
        <w:ind w:left="993"/>
        <w:jc w:val="both"/>
        <w:rPr>
          <w:b/>
          <w:color w:val="800080"/>
        </w:rPr>
      </w:pPr>
      <w:r w:rsidRPr="003A2364">
        <w:rPr>
          <w:b/>
          <w:i/>
          <w:noProof/>
          <w:color w:val="800080"/>
          <w:lang w:bidi="ar-SA"/>
        </w:rPr>
        <w:drawing>
          <wp:anchor distT="0" distB="0" distL="114300" distR="114300" simplePos="0" relativeHeight="251931648" behindDoc="1" locked="0" layoutInCell="1" allowOverlap="1" wp14:anchorId="2506584C" wp14:editId="7F762FD3">
            <wp:simplePos x="0" y="0"/>
            <wp:positionH relativeFrom="margin">
              <wp:posOffset>115910</wp:posOffset>
            </wp:positionH>
            <wp:positionV relativeFrom="paragraph">
              <wp:posOffset>7020</wp:posOffset>
            </wp:positionV>
            <wp:extent cx="333375" cy="333375"/>
            <wp:effectExtent l="0" t="0" r="9525" b="9525"/>
            <wp:wrapTight wrapText="bothSides">
              <wp:wrapPolygon edited="0">
                <wp:start x="0" y="0"/>
                <wp:lineTo x="0" y="20983"/>
                <wp:lineTo x="20983" y="20983"/>
                <wp:lineTo x="20983" y="0"/>
                <wp:lineTo x="0" y="0"/>
              </wp:wrapPolygon>
            </wp:wrapTight>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duotone>
                        <a:prstClr val="black"/>
                        <a:srgbClr val="800080">
                          <a:tint val="45000"/>
                          <a:satMod val="400000"/>
                        </a:srgbClr>
                      </a:duotone>
                      <a:extLst>
                        <a:ext uri="{BEBA8EAE-BF5A-486C-A8C5-ECC9F3942E4B}">
                          <a14:imgProps xmlns:a14="http://schemas.microsoft.com/office/drawing/2010/main">
                            <a14:imgLayer r:embed="rId18">
                              <a14:imgEffect>
                                <a14:colorTemperature colorTemp="6498"/>
                              </a14:imgEffect>
                            </a14:imgLayer>
                          </a14:imgProps>
                        </a:ext>
                      </a:extLst>
                    </a:blip>
                    <a:stretch>
                      <a:fillRect/>
                    </a:stretch>
                  </pic:blipFill>
                  <pic:spPr>
                    <a:xfrm>
                      <a:off x="0" y="0"/>
                      <a:ext cx="333375" cy="333375"/>
                    </a:xfrm>
                    <a:prstGeom prst="rect">
                      <a:avLst/>
                    </a:prstGeom>
                    <a:blipFill>
                      <a:blip r:embed="rId19"/>
                      <a:tile tx="0" ty="0" sx="100000" sy="100000" flip="none" algn="tl"/>
                    </a:blipFill>
                    <a:ln>
                      <a:noFill/>
                    </a:ln>
                  </pic:spPr>
                </pic:pic>
              </a:graphicData>
            </a:graphic>
            <wp14:sizeRelV relativeFrom="margin">
              <wp14:pctHeight>0</wp14:pctHeight>
            </wp14:sizeRelV>
          </wp:anchor>
        </w:drawing>
      </w:r>
      <w:r w:rsidRPr="003A2364">
        <w:rPr>
          <w:b/>
          <w:i/>
          <w:color w:val="800080"/>
        </w:rPr>
        <w:t>Support for this entry point will</w:t>
      </w:r>
      <w:r w:rsidR="00D82935" w:rsidRPr="003A2364">
        <w:rPr>
          <w:b/>
          <w:i/>
          <w:color w:val="800080"/>
        </w:rPr>
        <w:t xml:space="preserve"> ensure that </w:t>
      </w:r>
      <w:r w:rsidR="00A143CB" w:rsidRPr="003A2364">
        <w:rPr>
          <w:b/>
          <w:i/>
          <w:color w:val="800080"/>
        </w:rPr>
        <w:t xml:space="preserve">new and existing development investments are risk informed and do not increase vulnerability to </w:t>
      </w:r>
      <w:r w:rsidR="00D82935" w:rsidRPr="003A2364">
        <w:rPr>
          <w:b/>
          <w:i/>
          <w:color w:val="800080"/>
        </w:rPr>
        <w:t>existing and new</w:t>
      </w:r>
      <w:r w:rsidR="00A143CB" w:rsidRPr="003A2364">
        <w:rPr>
          <w:b/>
          <w:i/>
          <w:color w:val="800080"/>
        </w:rPr>
        <w:t xml:space="preserve"> risk</w:t>
      </w:r>
      <w:r w:rsidR="003A2364">
        <w:rPr>
          <w:b/>
          <w:i/>
          <w:color w:val="800080"/>
        </w:rPr>
        <w:t>;</w:t>
      </w:r>
      <w:r w:rsidR="00A143CB" w:rsidRPr="003A2364">
        <w:rPr>
          <w:b/>
          <w:i/>
          <w:color w:val="800080"/>
        </w:rPr>
        <w:t xml:space="preserve"> and instead contribute to reducing vulnerability</w:t>
      </w:r>
      <w:r w:rsidR="003A2364">
        <w:rPr>
          <w:b/>
          <w:i/>
          <w:color w:val="800080"/>
        </w:rPr>
        <w:t xml:space="preserve"> and</w:t>
      </w:r>
      <w:r w:rsidR="00A143CB" w:rsidRPr="003A2364">
        <w:rPr>
          <w:b/>
          <w:i/>
          <w:color w:val="800080"/>
        </w:rPr>
        <w:t xml:space="preserve"> increasing resilience and adaptation.</w:t>
      </w:r>
    </w:p>
    <w:p w14:paraId="0D3CE1D6" w14:textId="718B2A37" w:rsidR="00712D8F" w:rsidRDefault="00F50105" w:rsidP="00C45FC4">
      <w:pPr>
        <w:rPr>
          <w:i/>
        </w:rPr>
      </w:pPr>
      <w:r>
        <w:rPr>
          <w:b/>
        </w:rPr>
        <w:br w:type="page"/>
      </w:r>
    </w:p>
    <w:p w14:paraId="47617782" w14:textId="7430040A" w:rsidR="0088491E" w:rsidRPr="00450F5B" w:rsidRDefault="0088491E" w:rsidP="00450F5B">
      <w:pPr>
        <w:pStyle w:val="Heading2"/>
        <w:shd w:val="clear" w:color="auto" w:fill="C00000"/>
        <w:rPr>
          <w:color w:val="FFFFFF" w:themeColor="background1"/>
          <w:sz w:val="36"/>
          <w:szCs w:val="36"/>
        </w:rPr>
      </w:pPr>
      <w:bookmarkStart w:id="38" w:name="_Toc451948705"/>
      <w:r w:rsidRPr="00450F5B">
        <w:rPr>
          <w:noProof/>
          <w:color w:val="FFFFFF" w:themeColor="background1"/>
          <w:sz w:val="36"/>
          <w:szCs w:val="36"/>
          <w:lang w:bidi="ar-SA"/>
        </w:rPr>
        <w:drawing>
          <wp:anchor distT="0" distB="0" distL="114300" distR="114300" simplePos="0" relativeHeight="251932672" behindDoc="1" locked="0" layoutInCell="1" allowOverlap="1" wp14:anchorId="4F00E01C" wp14:editId="11F4A936">
            <wp:simplePos x="0" y="0"/>
            <wp:positionH relativeFrom="column">
              <wp:posOffset>4987664</wp:posOffset>
            </wp:positionH>
            <wp:positionV relativeFrom="paragraph">
              <wp:posOffset>499</wp:posOffset>
            </wp:positionV>
            <wp:extent cx="1886585" cy="1068070"/>
            <wp:effectExtent l="0" t="0" r="0" b="0"/>
            <wp:wrapTight wrapText="bothSides">
              <wp:wrapPolygon edited="0">
                <wp:start x="0" y="0"/>
                <wp:lineTo x="0" y="21189"/>
                <wp:lineTo x="21375" y="21189"/>
                <wp:lineTo x="21375" y="0"/>
                <wp:lineTo x="0" y="0"/>
              </wp:wrapPolygon>
            </wp:wrapTight>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86585" cy="1068070"/>
                    </a:xfrm>
                    <a:prstGeom prst="rect">
                      <a:avLst/>
                    </a:prstGeom>
                  </pic:spPr>
                </pic:pic>
              </a:graphicData>
            </a:graphic>
            <wp14:sizeRelH relativeFrom="margin">
              <wp14:pctWidth>0</wp14:pctWidth>
            </wp14:sizeRelH>
            <wp14:sizeRelV relativeFrom="margin">
              <wp14:pctHeight>0</wp14:pctHeight>
            </wp14:sizeRelV>
          </wp:anchor>
        </w:drawing>
      </w:r>
      <w:bookmarkStart w:id="39" w:name="_Toc451409707"/>
      <w:r w:rsidR="009779CA" w:rsidRPr="00450F5B">
        <w:rPr>
          <w:color w:val="FFFFFF" w:themeColor="background1"/>
          <w:sz w:val="36"/>
          <w:szCs w:val="36"/>
        </w:rPr>
        <w:t>ORGANISATION</w:t>
      </w:r>
      <w:bookmarkEnd w:id="38"/>
      <w:bookmarkEnd w:id="39"/>
    </w:p>
    <w:p w14:paraId="46C01057" w14:textId="42D80EA3" w:rsidR="0088491E" w:rsidRDefault="0088491E" w:rsidP="00E94B90">
      <w:pPr>
        <w:jc w:val="both"/>
        <w:rPr>
          <w:b/>
        </w:rPr>
      </w:pPr>
    </w:p>
    <w:p w14:paraId="75B66DFC" w14:textId="0DB3E6C0" w:rsidR="0088491E" w:rsidRPr="0088491E" w:rsidRDefault="0088491E" w:rsidP="0088491E">
      <w:pPr>
        <w:shd w:val="clear" w:color="auto" w:fill="FFABAB"/>
        <w:jc w:val="both"/>
        <w:rPr>
          <w:b/>
        </w:rPr>
      </w:pPr>
      <w:r w:rsidRPr="0088491E">
        <w:rPr>
          <w:b/>
        </w:rPr>
        <w:t>PURPOSE:</w:t>
      </w:r>
    </w:p>
    <w:p w14:paraId="17E7587E" w14:textId="61373DC3" w:rsidR="004252B3" w:rsidRDefault="00F474DC" w:rsidP="00E94B90">
      <w:pPr>
        <w:jc w:val="both"/>
        <w:rPr>
          <w:i/>
        </w:rPr>
      </w:pPr>
      <w:r>
        <w:rPr>
          <w:b/>
        </w:rPr>
        <w:t>This</w:t>
      </w:r>
      <w:r w:rsidR="004252B3">
        <w:rPr>
          <w:b/>
        </w:rPr>
        <w:t xml:space="preserve"> component </w:t>
      </w:r>
      <w:r w:rsidR="0088491E">
        <w:rPr>
          <w:b/>
        </w:rPr>
        <w:t xml:space="preserve">will </w:t>
      </w:r>
      <w:r w:rsidR="004252B3">
        <w:rPr>
          <w:b/>
        </w:rPr>
        <w:t>support</w:t>
      </w:r>
      <w:r w:rsidR="000B3A27">
        <w:rPr>
          <w:b/>
        </w:rPr>
        <w:t xml:space="preserve"> the</w:t>
      </w:r>
      <w:r w:rsidR="004252B3">
        <w:rPr>
          <w:b/>
        </w:rPr>
        <w:t xml:space="preserve"> </w:t>
      </w:r>
      <w:r w:rsidR="004252B3" w:rsidRPr="00752FBC">
        <w:rPr>
          <w:b/>
          <w:u w:val="single"/>
        </w:rPr>
        <w:t>implementation</w:t>
      </w:r>
      <w:r w:rsidR="004252B3">
        <w:rPr>
          <w:b/>
        </w:rPr>
        <w:t xml:space="preserve"> of risk informed legislation, strategies, policies, programmes and projects</w:t>
      </w:r>
      <w:r w:rsidR="004252B3" w:rsidRPr="00E94B90">
        <w:rPr>
          <w:b/>
        </w:rPr>
        <w:t xml:space="preserve">.  </w:t>
      </w:r>
      <w:r w:rsidR="00E94B90" w:rsidRPr="00E94B90">
        <w:t>Integration o</w:t>
      </w:r>
      <w:r w:rsidR="00661638">
        <w:t>f</w:t>
      </w:r>
      <w:r w:rsidR="00E94B90" w:rsidRPr="00E94B90">
        <w:t xml:space="preserve"> risk into policies, plans and organisational processes does not </w:t>
      </w:r>
      <w:r w:rsidR="000B3A27">
        <w:t xml:space="preserve">automatically </w:t>
      </w:r>
      <w:r w:rsidR="00E94B90" w:rsidRPr="00E94B90">
        <w:t>result in actual implementati</w:t>
      </w:r>
      <w:r w:rsidR="00752FBC">
        <w:t xml:space="preserve">on of risk informed activities.  </w:t>
      </w:r>
      <w:r w:rsidR="006204B5">
        <w:t xml:space="preserve">It is equally important to strengthen </w:t>
      </w:r>
      <w:r w:rsidR="00305737">
        <w:t>the organisational aspects of the mainstreaming process and ensure that developmen</w:t>
      </w:r>
      <w:r w:rsidR="00450F5B">
        <w:t xml:space="preserve">t organisations mainstream risk management into </w:t>
      </w:r>
      <w:r w:rsidR="00305737">
        <w:t xml:space="preserve">their core activities thereby internalising and ultimately institutionalising DRR and CCA.   </w:t>
      </w:r>
      <w:r w:rsidR="00305737">
        <w:rPr>
          <w:lang w:val="en-GB"/>
        </w:rPr>
        <w:t xml:space="preserve">Mainstreaming </w:t>
      </w:r>
      <w:r w:rsidR="00897763">
        <w:rPr>
          <w:lang w:val="en-GB"/>
        </w:rPr>
        <w:t>DRR</w:t>
      </w:r>
      <w:r w:rsidR="00305737">
        <w:rPr>
          <w:lang w:val="en-GB"/>
        </w:rPr>
        <w:t xml:space="preserve"> and CCA</w:t>
      </w:r>
      <w:r w:rsidR="00897763">
        <w:rPr>
          <w:lang w:val="en-GB"/>
        </w:rPr>
        <w:t xml:space="preserve"> within an organi</w:t>
      </w:r>
      <w:r w:rsidR="00305737">
        <w:rPr>
          <w:lang w:val="en-GB"/>
        </w:rPr>
        <w:t>s</w:t>
      </w:r>
      <w:r w:rsidR="00897763">
        <w:rPr>
          <w:lang w:val="en-GB"/>
        </w:rPr>
        <w:t>ations</w:t>
      </w:r>
      <w:r w:rsidR="00305737">
        <w:rPr>
          <w:lang w:val="en-GB"/>
        </w:rPr>
        <w:t>’</w:t>
      </w:r>
      <w:r w:rsidR="00897763">
        <w:rPr>
          <w:lang w:val="en-GB"/>
        </w:rPr>
        <w:t xml:space="preserve"> structure and process</w:t>
      </w:r>
      <w:r w:rsidR="00850CB9">
        <w:rPr>
          <w:lang w:val="en-GB"/>
        </w:rPr>
        <w:t>es</w:t>
      </w:r>
      <w:r w:rsidR="00897763">
        <w:rPr>
          <w:lang w:val="en-GB"/>
        </w:rPr>
        <w:t xml:space="preserve"> cannot be viewed in isolation from broader institutional challenges a particular organi</w:t>
      </w:r>
      <w:r w:rsidR="00305737">
        <w:rPr>
          <w:lang w:val="en-GB"/>
        </w:rPr>
        <w:t>s</w:t>
      </w:r>
      <w:r w:rsidR="00897763">
        <w:rPr>
          <w:lang w:val="en-GB"/>
        </w:rPr>
        <w:t>ation might face.</w:t>
      </w:r>
      <w:r w:rsidR="00305737">
        <w:rPr>
          <w:lang w:val="en-GB"/>
        </w:rPr>
        <w:t xml:space="preserve"> Key entry points will be</w:t>
      </w:r>
      <w:r w:rsidR="000B3A27">
        <w:t>: i) clear</w:t>
      </w:r>
      <w:r w:rsidR="0088491E">
        <w:t>ly</w:t>
      </w:r>
      <w:r w:rsidR="00450F5B">
        <w:t xml:space="preserve"> defining</w:t>
      </w:r>
      <w:r w:rsidR="00F5118A">
        <w:t xml:space="preserve"> </w:t>
      </w:r>
      <w:r w:rsidR="00661638" w:rsidRPr="00661638">
        <w:rPr>
          <w:u w:val="single"/>
        </w:rPr>
        <w:t>roles and responsibilities</w:t>
      </w:r>
      <w:r w:rsidR="00752FBC" w:rsidRPr="00752FBC">
        <w:t xml:space="preserve"> and incentives</w:t>
      </w:r>
      <w:r w:rsidR="000B3A27">
        <w:t xml:space="preserve"> for risk management</w:t>
      </w:r>
      <w:r w:rsidR="00752FBC" w:rsidRPr="00752FBC">
        <w:t>; ii)</w:t>
      </w:r>
      <w:r w:rsidR="00305737">
        <w:t xml:space="preserve"> developing</w:t>
      </w:r>
      <w:r w:rsidR="00752FBC" w:rsidRPr="00752FBC">
        <w:t xml:space="preserve"> </w:t>
      </w:r>
      <w:r w:rsidR="00752FBC" w:rsidRPr="00F5118A">
        <w:rPr>
          <w:u w:val="single"/>
        </w:rPr>
        <w:t>capacity</w:t>
      </w:r>
      <w:r w:rsidR="00752FBC">
        <w:t xml:space="preserve"> to effectively carry out key roles and responsibilities</w:t>
      </w:r>
      <w:r w:rsidR="000B3A27">
        <w:t xml:space="preserve"> relating to risk</w:t>
      </w:r>
      <w:r w:rsidR="00752FBC">
        <w:t xml:space="preserve">; ii) </w:t>
      </w:r>
      <w:r w:rsidR="000B3A27">
        <w:t>risk inform</w:t>
      </w:r>
      <w:r w:rsidR="00305737">
        <w:t>ing</w:t>
      </w:r>
      <w:r w:rsidR="00450F5B">
        <w:t xml:space="preserve"> </w:t>
      </w:r>
      <w:r w:rsidR="000B3A27">
        <w:t xml:space="preserve"> </w:t>
      </w:r>
      <w:r w:rsidR="00F5118A">
        <w:t xml:space="preserve">internal </w:t>
      </w:r>
      <w:r w:rsidR="00F5118A" w:rsidRPr="00661638">
        <w:rPr>
          <w:u w:val="single"/>
        </w:rPr>
        <w:t>procedures</w:t>
      </w:r>
      <w:r w:rsidR="00752FBC">
        <w:rPr>
          <w:u w:val="single"/>
        </w:rPr>
        <w:t xml:space="preserve"> and</w:t>
      </w:r>
      <w:r w:rsidR="00661638" w:rsidRPr="00661638">
        <w:rPr>
          <w:u w:val="single"/>
        </w:rPr>
        <w:t xml:space="preserve"> tools</w:t>
      </w:r>
      <w:r w:rsidR="00F5118A">
        <w:t xml:space="preserve"> to ensure sustained integration into a department’s responsibilities</w:t>
      </w:r>
      <w:r w:rsidR="000B3A27">
        <w:t xml:space="preserve"> and day to day activities (e.g. planning, programming)</w:t>
      </w:r>
      <w:r w:rsidR="00752FBC">
        <w:t xml:space="preserve">; and iv) </w:t>
      </w:r>
      <w:r w:rsidR="000B3A27">
        <w:t>risk inform</w:t>
      </w:r>
      <w:r w:rsidR="00850CB9">
        <w:t>ing</w:t>
      </w:r>
      <w:r w:rsidR="000B3A27">
        <w:t xml:space="preserve"> </w:t>
      </w:r>
      <w:r w:rsidR="0088491E">
        <w:rPr>
          <w:u w:val="single"/>
        </w:rPr>
        <w:t>programmes and projects</w:t>
      </w:r>
      <w:r w:rsidR="0088491E">
        <w:t xml:space="preserve">.  </w:t>
      </w:r>
    </w:p>
    <w:p w14:paraId="20AA927E" w14:textId="32FF3FF5" w:rsidR="0088491E" w:rsidRPr="0088491E" w:rsidRDefault="0088491E" w:rsidP="0088491E">
      <w:pPr>
        <w:shd w:val="clear" w:color="auto" w:fill="FFABAB"/>
        <w:jc w:val="both"/>
        <w:rPr>
          <w:b/>
          <w:sz w:val="20"/>
          <w:szCs w:val="20"/>
        </w:rPr>
      </w:pPr>
      <w:r w:rsidRPr="0088491E">
        <w:rPr>
          <w:b/>
        </w:rPr>
        <w:t>ENTRY POINTS:</w:t>
      </w:r>
    </w:p>
    <w:p w14:paraId="3DD55A5D" w14:textId="72DD340B" w:rsidR="0088491E" w:rsidRPr="00E553F8" w:rsidRDefault="0088491E" w:rsidP="0088491E">
      <w:pPr>
        <w:jc w:val="both"/>
        <w:rPr>
          <w:b/>
        </w:rPr>
      </w:pPr>
      <w:r w:rsidRPr="00E553F8">
        <w:rPr>
          <w:b/>
        </w:rPr>
        <w:t xml:space="preserve">This component comprises </w:t>
      </w:r>
      <w:r>
        <w:rPr>
          <w:b/>
        </w:rPr>
        <w:t>four main</w:t>
      </w:r>
      <w:r w:rsidRPr="00E553F8">
        <w:rPr>
          <w:b/>
        </w:rPr>
        <w:t xml:space="preserve"> </w:t>
      </w:r>
      <w:r w:rsidR="00F474DC">
        <w:rPr>
          <w:b/>
        </w:rPr>
        <w:t>sub-components</w:t>
      </w:r>
      <w:r w:rsidR="00842E2A">
        <w:rPr>
          <w:b/>
        </w:rPr>
        <w:t xml:space="preserve">. </w:t>
      </w:r>
      <w:r w:rsidR="00842E2A">
        <w:t>Mainstreaming will involve support for one or more of the areas of intervention identified below.</w:t>
      </w:r>
    </w:p>
    <w:p w14:paraId="1FC6836D" w14:textId="5962C3CB" w:rsidR="00566F9D" w:rsidRDefault="00450F5B" w:rsidP="004B2E2E">
      <w:pPr>
        <w:pStyle w:val="ListParagraph"/>
        <w:numPr>
          <w:ilvl w:val="0"/>
          <w:numId w:val="12"/>
        </w:numPr>
        <w:jc w:val="both"/>
        <w:rPr>
          <w:rFonts w:asciiTheme="minorHAnsi" w:hAnsiTheme="minorHAnsi"/>
          <w:sz w:val="22"/>
        </w:rPr>
      </w:pPr>
      <w:r>
        <w:rPr>
          <w:rFonts w:asciiTheme="minorHAnsi" w:hAnsiTheme="minorHAnsi"/>
          <w:b/>
          <w:noProof/>
          <w:sz w:val="22"/>
          <w:lang w:eastAsia="en-GB"/>
        </w:rPr>
        <w:t>Coordination and r</w:t>
      </w:r>
      <w:r w:rsidR="00752FBC" w:rsidRPr="00803839">
        <w:rPr>
          <w:rFonts w:asciiTheme="minorHAnsi" w:hAnsiTheme="minorHAnsi"/>
          <w:b/>
          <w:noProof/>
          <w:sz w:val="22"/>
          <w:lang w:eastAsia="en-GB"/>
        </w:rPr>
        <w:t xml:space="preserve">esponsibilities: </w:t>
      </w:r>
      <w:r w:rsidR="00F474DC" w:rsidRPr="00F474DC">
        <w:rPr>
          <w:rFonts w:asciiTheme="minorHAnsi" w:hAnsiTheme="minorHAnsi"/>
          <w:noProof/>
          <w:sz w:val="22"/>
          <w:lang w:eastAsia="en-GB"/>
        </w:rPr>
        <w:t xml:space="preserve">DRR and CCA are highly interdisciplinary functions and require the collaboration of a wide range of stakeholder. </w:t>
      </w:r>
      <w:r w:rsidR="00F474DC">
        <w:rPr>
          <w:rFonts w:asciiTheme="minorHAnsi" w:hAnsiTheme="minorHAnsi"/>
          <w:noProof/>
          <w:sz w:val="22"/>
          <w:lang w:eastAsia="en-GB"/>
        </w:rPr>
        <w:t>I</w:t>
      </w:r>
      <w:r w:rsidR="00752FBC" w:rsidRPr="00803839">
        <w:rPr>
          <w:rFonts w:asciiTheme="minorHAnsi" w:hAnsiTheme="minorHAnsi"/>
          <w:noProof/>
          <w:sz w:val="22"/>
          <w:lang w:eastAsia="en-GB"/>
        </w:rPr>
        <w:t>t is important to ensure that</w:t>
      </w:r>
      <w:r w:rsidR="00F474DC">
        <w:rPr>
          <w:rFonts w:asciiTheme="minorHAnsi" w:hAnsiTheme="minorHAnsi"/>
          <w:noProof/>
          <w:sz w:val="22"/>
          <w:lang w:eastAsia="en-GB"/>
        </w:rPr>
        <w:t xml:space="preserve"> DRR/CCA</w:t>
      </w:r>
      <w:r w:rsidR="00752FBC" w:rsidRPr="00803839">
        <w:rPr>
          <w:rFonts w:asciiTheme="minorHAnsi" w:hAnsiTheme="minorHAnsi"/>
          <w:noProof/>
          <w:sz w:val="22"/>
          <w:lang w:eastAsia="en-GB"/>
        </w:rPr>
        <w:t xml:space="preserve"> strategies and plans are supported or reinforced by clear allocation and implementation of roles and responsibilities for climate and disaster risk</w:t>
      </w:r>
      <w:r w:rsidR="00F474DC">
        <w:rPr>
          <w:rFonts w:asciiTheme="minorHAnsi" w:hAnsiTheme="minorHAnsi"/>
          <w:noProof/>
          <w:sz w:val="22"/>
          <w:lang w:eastAsia="en-GB"/>
        </w:rPr>
        <w:t xml:space="preserve"> to avoid overlap or gaps</w:t>
      </w:r>
      <w:r w:rsidR="00752FBC" w:rsidRPr="00803839">
        <w:rPr>
          <w:rFonts w:asciiTheme="minorHAnsi" w:hAnsiTheme="minorHAnsi"/>
          <w:noProof/>
          <w:sz w:val="22"/>
          <w:lang w:eastAsia="en-GB"/>
        </w:rPr>
        <w:t>.  It will</w:t>
      </w:r>
      <w:r w:rsidR="005C56F7">
        <w:rPr>
          <w:rFonts w:asciiTheme="minorHAnsi" w:hAnsiTheme="minorHAnsi"/>
          <w:noProof/>
          <w:sz w:val="22"/>
          <w:lang w:eastAsia="en-GB"/>
        </w:rPr>
        <w:t xml:space="preserve"> therefore</w:t>
      </w:r>
      <w:r w:rsidR="00752FBC" w:rsidRPr="00803839">
        <w:rPr>
          <w:rFonts w:asciiTheme="minorHAnsi" w:hAnsiTheme="minorHAnsi"/>
          <w:noProof/>
          <w:sz w:val="22"/>
          <w:lang w:eastAsia="en-GB"/>
        </w:rPr>
        <w:t xml:space="preserve"> be important to identify establish individuals/groups responsible for risk management in each ministry of agency as well as establish </w:t>
      </w:r>
      <w:r w:rsidR="00F474DC">
        <w:rPr>
          <w:rFonts w:asciiTheme="minorHAnsi" w:hAnsiTheme="minorHAnsi"/>
          <w:noProof/>
          <w:sz w:val="22"/>
          <w:lang w:eastAsia="en-GB"/>
        </w:rPr>
        <w:t>coordination platforms</w:t>
      </w:r>
      <w:r w:rsidR="00752FBC" w:rsidRPr="00803839">
        <w:rPr>
          <w:rFonts w:asciiTheme="minorHAnsi" w:hAnsiTheme="minorHAnsi"/>
          <w:noProof/>
          <w:sz w:val="22"/>
          <w:lang w:eastAsia="en-GB"/>
        </w:rPr>
        <w:t xml:space="preserve"> to bring together different stakeholders</w:t>
      </w:r>
      <w:r w:rsidR="000B3A27" w:rsidRPr="00803839">
        <w:rPr>
          <w:rFonts w:asciiTheme="minorHAnsi" w:hAnsiTheme="minorHAnsi"/>
          <w:noProof/>
          <w:sz w:val="22"/>
          <w:lang w:eastAsia="en-GB"/>
        </w:rPr>
        <w:t xml:space="preserve">. </w:t>
      </w:r>
      <w:r w:rsidR="007C2071">
        <w:rPr>
          <w:rFonts w:asciiTheme="minorHAnsi" w:hAnsiTheme="minorHAnsi"/>
          <w:noProof/>
          <w:sz w:val="22"/>
          <w:lang w:eastAsia="en-GB"/>
        </w:rPr>
        <w:t xml:space="preserve">Ideally, </w:t>
      </w:r>
      <w:r w:rsidR="007C2071">
        <w:rPr>
          <w:rFonts w:asciiTheme="minorHAnsi" w:hAnsiTheme="minorHAnsi"/>
          <w:sz w:val="22"/>
        </w:rPr>
        <w:t>f</w:t>
      </w:r>
      <w:r w:rsidR="007C2071" w:rsidRPr="006815BC">
        <w:rPr>
          <w:rFonts w:asciiTheme="minorHAnsi" w:hAnsiTheme="minorHAnsi"/>
          <w:sz w:val="22"/>
        </w:rPr>
        <w:t xml:space="preserve">ocal points are </w:t>
      </w:r>
      <w:r w:rsidR="007C2071">
        <w:rPr>
          <w:rFonts w:asciiTheme="minorHAnsi" w:hAnsiTheme="minorHAnsi"/>
          <w:sz w:val="22"/>
        </w:rPr>
        <w:t>identified in each core government ministry/subnational unit and act as an</w:t>
      </w:r>
      <w:r w:rsidR="007C2071" w:rsidRPr="006815BC">
        <w:rPr>
          <w:rFonts w:asciiTheme="minorHAnsi" w:hAnsiTheme="minorHAnsi"/>
          <w:sz w:val="22"/>
        </w:rPr>
        <w:t xml:space="preserve"> anchor for DRR </w:t>
      </w:r>
      <w:r w:rsidR="007C2071">
        <w:rPr>
          <w:rFonts w:asciiTheme="minorHAnsi" w:hAnsiTheme="minorHAnsi"/>
          <w:sz w:val="22"/>
        </w:rPr>
        <w:t xml:space="preserve">and CCA </w:t>
      </w:r>
      <w:r w:rsidR="007C2071" w:rsidRPr="006815BC">
        <w:rPr>
          <w:rFonts w:asciiTheme="minorHAnsi" w:hAnsiTheme="minorHAnsi"/>
          <w:sz w:val="22"/>
        </w:rPr>
        <w:t>within an organi</w:t>
      </w:r>
      <w:r>
        <w:rPr>
          <w:rFonts w:asciiTheme="minorHAnsi" w:hAnsiTheme="minorHAnsi"/>
          <w:sz w:val="22"/>
        </w:rPr>
        <w:t>s</w:t>
      </w:r>
      <w:r w:rsidR="007C2071" w:rsidRPr="006815BC">
        <w:rPr>
          <w:rFonts w:asciiTheme="minorHAnsi" w:hAnsiTheme="minorHAnsi"/>
          <w:sz w:val="22"/>
        </w:rPr>
        <w:t>ation</w:t>
      </w:r>
      <w:r w:rsidR="007C2071">
        <w:rPr>
          <w:rFonts w:asciiTheme="minorHAnsi" w:hAnsiTheme="minorHAnsi"/>
          <w:sz w:val="22"/>
        </w:rPr>
        <w:t xml:space="preserve">.  </w:t>
      </w:r>
      <w:r w:rsidR="00764DAB">
        <w:rPr>
          <w:rFonts w:asciiTheme="minorHAnsi" w:hAnsiTheme="minorHAnsi"/>
          <w:sz w:val="22"/>
        </w:rPr>
        <w:t>C</w:t>
      </w:r>
      <w:r w:rsidR="00764DAB" w:rsidRPr="00116F3D">
        <w:rPr>
          <w:rFonts w:asciiTheme="minorHAnsi" w:hAnsiTheme="minorHAnsi"/>
          <w:sz w:val="22"/>
        </w:rPr>
        <w:t xml:space="preserve">ross-sectoral </w:t>
      </w:r>
      <w:r w:rsidR="00764DAB">
        <w:rPr>
          <w:rFonts w:asciiTheme="minorHAnsi" w:hAnsiTheme="minorHAnsi"/>
          <w:sz w:val="22"/>
        </w:rPr>
        <w:t xml:space="preserve">coordination and </w:t>
      </w:r>
      <w:r w:rsidR="00F474DC">
        <w:rPr>
          <w:rFonts w:asciiTheme="minorHAnsi" w:hAnsiTheme="minorHAnsi"/>
          <w:sz w:val="22"/>
        </w:rPr>
        <w:t>collaboration that challenge</w:t>
      </w:r>
      <w:r w:rsidR="00764DAB" w:rsidRPr="00116F3D">
        <w:rPr>
          <w:rFonts w:asciiTheme="minorHAnsi" w:hAnsiTheme="minorHAnsi"/>
          <w:sz w:val="22"/>
        </w:rPr>
        <w:t xml:space="preserve"> “siloed” approaches in government is critical to effective decision-making (Rockerfeller, 2014).  Cross-government mechanisms are commonly cited as preferred way to “organise” around climate and disaster risk.  Further, inter-ministerial and inter-sectorial coordination and </w:t>
      </w:r>
      <w:r w:rsidR="00764DAB">
        <w:rPr>
          <w:rFonts w:asciiTheme="minorHAnsi" w:hAnsiTheme="minorHAnsi"/>
          <w:sz w:val="22"/>
        </w:rPr>
        <w:t>collaboration</w:t>
      </w:r>
      <w:r w:rsidR="00764DAB" w:rsidRPr="00116F3D">
        <w:rPr>
          <w:rFonts w:asciiTheme="minorHAnsi" w:hAnsiTheme="minorHAnsi"/>
          <w:sz w:val="22"/>
        </w:rPr>
        <w:t xml:space="preserve"> is an important starting point that determines the extent to which a dialogue can be held on institutional and legal reform processes for improved risk management.</w:t>
      </w:r>
    </w:p>
    <w:p w14:paraId="04CB8291" w14:textId="12812398" w:rsidR="00706639" w:rsidRDefault="00706639" w:rsidP="00706639">
      <w:pPr>
        <w:jc w:val="both"/>
        <w:rPr>
          <w:i/>
        </w:rPr>
      </w:pPr>
      <w:r w:rsidRPr="00566F9D">
        <w:rPr>
          <w:i/>
          <w:noProof/>
          <w:color w:val="C00000"/>
          <w:lang w:bidi="ar-SA"/>
        </w:rPr>
        <w:drawing>
          <wp:anchor distT="0" distB="0" distL="114300" distR="114300" simplePos="0" relativeHeight="251936768" behindDoc="1" locked="0" layoutInCell="1" allowOverlap="1" wp14:anchorId="297EEDC1" wp14:editId="26683CF3">
            <wp:simplePos x="0" y="0"/>
            <wp:positionH relativeFrom="margin">
              <wp:posOffset>230505</wp:posOffset>
            </wp:positionH>
            <wp:positionV relativeFrom="paragraph">
              <wp:posOffset>279400</wp:posOffset>
            </wp:positionV>
            <wp:extent cx="333375" cy="333375"/>
            <wp:effectExtent l="0" t="0" r="9525" b="9525"/>
            <wp:wrapTight wrapText="bothSides">
              <wp:wrapPolygon edited="0">
                <wp:start x="0" y="0"/>
                <wp:lineTo x="0" y="20983"/>
                <wp:lineTo x="20983" y="20983"/>
                <wp:lineTo x="20983" y="0"/>
                <wp:lineTo x="0" y="0"/>
              </wp:wrapPolygon>
            </wp:wrapTight>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prstClr val="black"/>
                        <a:srgbClr val="C00000">
                          <a:tint val="45000"/>
                          <a:satMod val="400000"/>
                        </a:srgbClr>
                      </a:duotone>
                    </a:blip>
                    <a:stretch>
                      <a:fillRect/>
                    </a:stretch>
                  </pic:blipFill>
                  <pic:spPr>
                    <a:xfrm>
                      <a:off x="0" y="0"/>
                      <a:ext cx="333375" cy="333375"/>
                    </a:xfrm>
                    <a:prstGeom prst="rect">
                      <a:avLst/>
                    </a:prstGeom>
                  </pic:spPr>
                </pic:pic>
              </a:graphicData>
            </a:graphic>
            <wp14:sizeRelV relativeFrom="margin">
              <wp14:pctHeight>0</wp14:pctHeight>
            </wp14:sizeRelV>
          </wp:anchor>
        </w:drawing>
      </w:r>
    </w:p>
    <w:p w14:paraId="5F78C7BC" w14:textId="1908EC34" w:rsidR="00566F9D" w:rsidRPr="00450F5B" w:rsidRDefault="00706639" w:rsidP="00764DAB">
      <w:pPr>
        <w:spacing w:after="0"/>
        <w:ind w:left="1134"/>
        <w:jc w:val="both"/>
        <w:rPr>
          <w:b/>
          <w:i/>
          <w:noProof/>
          <w:color w:val="C00000"/>
          <w:lang w:eastAsia="en-GB"/>
        </w:rPr>
      </w:pPr>
      <w:r w:rsidRPr="00450F5B">
        <w:rPr>
          <w:b/>
          <w:i/>
          <w:color w:val="C00000"/>
        </w:rPr>
        <w:t>Support for this entry point will ensure that roles and responsibilities for risk informing development policy and prac</w:t>
      </w:r>
      <w:r w:rsidR="00450F5B" w:rsidRPr="00450F5B">
        <w:rPr>
          <w:b/>
          <w:i/>
          <w:color w:val="C00000"/>
        </w:rPr>
        <w:t>tice are clearly articulated, are</w:t>
      </w:r>
      <w:r w:rsidRPr="00450F5B">
        <w:rPr>
          <w:b/>
          <w:i/>
          <w:color w:val="C00000"/>
        </w:rPr>
        <w:t xml:space="preserve"> implemented</w:t>
      </w:r>
      <w:r w:rsidR="00450F5B" w:rsidRPr="00450F5B">
        <w:rPr>
          <w:b/>
          <w:i/>
          <w:color w:val="C00000"/>
        </w:rPr>
        <w:t xml:space="preserve"> and promote</w:t>
      </w:r>
      <w:r w:rsidR="00764DAB" w:rsidRPr="00450F5B">
        <w:rPr>
          <w:b/>
          <w:i/>
          <w:color w:val="C00000"/>
        </w:rPr>
        <w:t xml:space="preserve"> collaboration within and between government agencies</w:t>
      </w:r>
      <w:r w:rsidR="00450F5B" w:rsidRPr="00450F5B">
        <w:rPr>
          <w:b/>
          <w:i/>
          <w:color w:val="C00000"/>
        </w:rPr>
        <w:t>.</w:t>
      </w:r>
    </w:p>
    <w:p w14:paraId="28003DB0" w14:textId="77777777" w:rsidR="00566F9D" w:rsidRPr="00752FBC" w:rsidRDefault="00566F9D" w:rsidP="00752FBC">
      <w:pPr>
        <w:pStyle w:val="ListParagraph"/>
        <w:ind w:left="360"/>
        <w:jc w:val="both"/>
        <w:rPr>
          <w:rFonts w:asciiTheme="minorHAnsi" w:hAnsiTheme="minorHAnsi"/>
          <w:i/>
          <w:noProof/>
          <w:sz w:val="22"/>
          <w:lang w:eastAsia="en-GB"/>
        </w:rPr>
      </w:pPr>
    </w:p>
    <w:p w14:paraId="57D1F6BA" w14:textId="5226989F" w:rsidR="006815BC" w:rsidRDefault="00A84BE6" w:rsidP="006815BC">
      <w:pPr>
        <w:pStyle w:val="ListParagraph"/>
        <w:numPr>
          <w:ilvl w:val="0"/>
          <w:numId w:val="12"/>
        </w:numPr>
        <w:jc w:val="both"/>
        <w:rPr>
          <w:rFonts w:asciiTheme="minorHAnsi" w:hAnsiTheme="minorHAnsi"/>
          <w:sz w:val="22"/>
        </w:rPr>
      </w:pPr>
      <w:r w:rsidRPr="00527901">
        <w:rPr>
          <w:rFonts w:asciiTheme="minorHAnsi" w:hAnsiTheme="minorHAnsi"/>
          <w:b/>
          <w:sz w:val="22"/>
        </w:rPr>
        <w:t>Capacit</w:t>
      </w:r>
      <w:r w:rsidR="00450F5B">
        <w:rPr>
          <w:rFonts w:asciiTheme="minorHAnsi" w:hAnsiTheme="minorHAnsi"/>
          <w:b/>
          <w:sz w:val="22"/>
        </w:rPr>
        <w:t>y</w:t>
      </w:r>
      <w:r w:rsidRPr="00527901">
        <w:rPr>
          <w:rFonts w:asciiTheme="minorHAnsi" w:hAnsiTheme="minorHAnsi"/>
          <w:b/>
          <w:sz w:val="22"/>
        </w:rPr>
        <w:t>:</w:t>
      </w:r>
      <w:r w:rsidRPr="00527901">
        <w:rPr>
          <w:b/>
        </w:rPr>
        <w:t xml:space="preserve">  </w:t>
      </w:r>
      <w:r w:rsidRPr="00527901">
        <w:rPr>
          <w:rFonts w:asciiTheme="minorHAnsi" w:hAnsiTheme="minorHAnsi"/>
          <w:sz w:val="22"/>
        </w:rPr>
        <w:t>capacity development refers to the process of creating and building capacities and their subsequent use, management and retention.  UN</w:t>
      </w:r>
      <w:r w:rsidR="00C76931">
        <w:rPr>
          <w:rFonts w:asciiTheme="minorHAnsi" w:hAnsiTheme="minorHAnsi"/>
          <w:sz w:val="22"/>
        </w:rPr>
        <w:t>D</w:t>
      </w:r>
      <w:r w:rsidRPr="00527901">
        <w:rPr>
          <w:rFonts w:asciiTheme="minorHAnsi" w:hAnsiTheme="minorHAnsi"/>
          <w:sz w:val="22"/>
        </w:rPr>
        <w:t xml:space="preserve">P defines </w:t>
      </w:r>
      <w:r w:rsidR="00764DAB">
        <w:rPr>
          <w:rFonts w:asciiTheme="minorHAnsi" w:hAnsiTheme="minorHAnsi"/>
          <w:sz w:val="22"/>
        </w:rPr>
        <w:t>capacity development</w:t>
      </w:r>
      <w:r w:rsidRPr="00527901">
        <w:rPr>
          <w:rFonts w:asciiTheme="minorHAnsi" w:hAnsiTheme="minorHAnsi"/>
          <w:sz w:val="22"/>
        </w:rPr>
        <w:t xml:space="preserve"> as a process through which individual organisations and societies obtain, strengthen and maintain the capabilities to set and achieve their own development over time.  It is the “how” of making development work better (UNDP, 2008). </w:t>
      </w:r>
      <w:r w:rsidR="00C76931">
        <w:rPr>
          <w:rFonts w:asciiTheme="minorHAnsi" w:hAnsiTheme="minorHAnsi"/>
          <w:sz w:val="22"/>
        </w:rPr>
        <w:t>To be effective, c</w:t>
      </w:r>
      <w:r w:rsidR="00805928" w:rsidRPr="00527901">
        <w:rPr>
          <w:rFonts w:asciiTheme="minorHAnsi" w:hAnsiTheme="minorHAnsi"/>
          <w:noProof/>
          <w:sz w:val="22"/>
          <w:lang w:eastAsia="en-GB"/>
        </w:rPr>
        <w:t>apacity development needs to move beyond traditional training</w:t>
      </w:r>
      <w:r w:rsidR="00C76931">
        <w:rPr>
          <w:rFonts w:asciiTheme="minorHAnsi" w:hAnsiTheme="minorHAnsi"/>
          <w:noProof/>
          <w:sz w:val="22"/>
          <w:lang w:eastAsia="en-GB"/>
        </w:rPr>
        <w:t xml:space="preserve"> approaches </w:t>
      </w:r>
      <w:r w:rsidR="002F26C7">
        <w:rPr>
          <w:rFonts w:asciiTheme="minorHAnsi" w:hAnsiTheme="minorHAnsi"/>
          <w:noProof/>
          <w:sz w:val="22"/>
          <w:lang w:eastAsia="en-GB"/>
        </w:rPr>
        <w:t xml:space="preserve">and support more </w:t>
      </w:r>
      <w:r w:rsidR="004325F7">
        <w:rPr>
          <w:rFonts w:asciiTheme="minorHAnsi" w:hAnsiTheme="minorHAnsi"/>
          <w:noProof/>
          <w:sz w:val="22"/>
          <w:lang w:eastAsia="en-GB"/>
        </w:rPr>
        <w:t xml:space="preserve">sustained changes </w:t>
      </w:r>
      <w:r w:rsidR="00E27C82">
        <w:rPr>
          <w:rFonts w:asciiTheme="minorHAnsi" w:hAnsiTheme="minorHAnsi"/>
          <w:noProof/>
          <w:sz w:val="22"/>
          <w:lang w:eastAsia="en-GB"/>
        </w:rPr>
        <w:t>in behav</w:t>
      </w:r>
      <w:r w:rsidR="00450F5B">
        <w:rPr>
          <w:rFonts w:asciiTheme="minorHAnsi" w:hAnsiTheme="minorHAnsi"/>
          <w:noProof/>
          <w:sz w:val="22"/>
          <w:lang w:eastAsia="en-GB"/>
        </w:rPr>
        <w:t>iour</w:t>
      </w:r>
      <w:r w:rsidR="00E27C82">
        <w:rPr>
          <w:rFonts w:asciiTheme="minorHAnsi" w:hAnsiTheme="minorHAnsi"/>
          <w:noProof/>
          <w:sz w:val="22"/>
          <w:lang w:eastAsia="en-GB"/>
        </w:rPr>
        <w:t xml:space="preserve">. </w:t>
      </w:r>
      <w:r w:rsidR="004325F7">
        <w:rPr>
          <w:rFonts w:asciiTheme="minorHAnsi" w:hAnsiTheme="minorHAnsi"/>
          <w:noProof/>
          <w:sz w:val="22"/>
          <w:lang w:eastAsia="en-GB"/>
        </w:rPr>
        <w:t xml:space="preserve">Capacity development </w:t>
      </w:r>
      <w:r w:rsidR="00E27C82">
        <w:rPr>
          <w:rFonts w:asciiTheme="minorHAnsi" w:hAnsiTheme="minorHAnsi"/>
          <w:noProof/>
          <w:sz w:val="22"/>
          <w:lang w:eastAsia="en-GB"/>
        </w:rPr>
        <w:t xml:space="preserve">for DRR and CCA </w:t>
      </w:r>
      <w:r w:rsidR="002F26C7">
        <w:rPr>
          <w:rFonts w:asciiTheme="minorHAnsi" w:hAnsiTheme="minorHAnsi"/>
          <w:noProof/>
          <w:sz w:val="22"/>
          <w:lang w:eastAsia="en-GB"/>
        </w:rPr>
        <w:t>is likely to take</w:t>
      </w:r>
      <w:r w:rsidR="004325F7">
        <w:rPr>
          <w:rFonts w:asciiTheme="minorHAnsi" w:hAnsiTheme="minorHAnsi"/>
          <w:noProof/>
          <w:sz w:val="22"/>
          <w:lang w:eastAsia="en-GB"/>
        </w:rPr>
        <w:t xml:space="preserve"> a number of different forms</w:t>
      </w:r>
      <w:r w:rsidR="002F26C7">
        <w:rPr>
          <w:rFonts w:asciiTheme="minorHAnsi" w:hAnsiTheme="minorHAnsi"/>
          <w:noProof/>
          <w:sz w:val="22"/>
          <w:lang w:eastAsia="en-GB"/>
        </w:rPr>
        <w:t xml:space="preserve"> – depending on the receipient.  For example,</w:t>
      </w:r>
      <w:r w:rsidR="002B2F5A">
        <w:rPr>
          <w:rFonts w:asciiTheme="minorHAnsi" w:hAnsiTheme="minorHAnsi"/>
          <w:noProof/>
          <w:sz w:val="22"/>
          <w:lang w:eastAsia="en-GB"/>
        </w:rPr>
        <w:t xml:space="preserve"> new or existing focal points </w:t>
      </w:r>
      <w:r w:rsidR="00E27C82">
        <w:rPr>
          <w:rFonts w:asciiTheme="minorHAnsi" w:hAnsiTheme="minorHAnsi"/>
          <w:noProof/>
          <w:sz w:val="22"/>
          <w:lang w:eastAsia="en-GB"/>
        </w:rPr>
        <w:t xml:space="preserve">for resilient development </w:t>
      </w:r>
      <w:r w:rsidR="00850CB9">
        <w:rPr>
          <w:rFonts w:asciiTheme="minorHAnsi" w:hAnsiTheme="minorHAnsi"/>
          <w:noProof/>
          <w:sz w:val="22"/>
          <w:lang w:eastAsia="en-GB"/>
        </w:rPr>
        <w:t>(</w:t>
      </w:r>
      <w:r w:rsidR="002B2F5A">
        <w:rPr>
          <w:rFonts w:asciiTheme="minorHAnsi" w:hAnsiTheme="minorHAnsi"/>
          <w:noProof/>
          <w:sz w:val="22"/>
          <w:lang w:eastAsia="en-GB"/>
        </w:rPr>
        <w:t xml:space="preserve">within </w:t>
      </w:r>
      <w:r w:rsidR="00450F5B">
        <w:rPr>
          <w:rFonts w:asciiTheme="minorHAnsi" w:hAnsiTheme="minorHAnsi"/>
          <w:noProof/>
          <w:sz w:val="22"/>
          <w:lang w:eastAsia="en-GB"/>
        </w:rPr>
        <w:t xml:space="preserve">core planning/finance ministries, </w:t>
      </w:r>
      <w:r w:rsidR="002B2F5A">
        <w:rPr>
          <w:rFonts w:asciiTheme="minorHAnsi" w:hAnsiTheme="minorHAnsi"/>
          <w:noProof/>
          <w:sz w:val="22"/>
          <w:lang w:eastAsia="en-GB"/>
        </w:rPr>
        <w:t>key line ministries</w:t>
      </w:r>
      <w:r w:rsidR="00450F5B">
        <w:rPr>
          <w:rFonts w:asciiTheme="minorHAnsi" w:hAnsiTheme="minorHAnsi"/>
          <w:noProof/>
          <w:sz w:val="22"/>
          <w:lang w:eastAsia="en-GB"/>
        </w:rPr>
        <w:t>,</w:t>
      </w:r>
      <w:r w:rsidR="002B2F5A">
        <w:rPr>
          <w:rFonts w:asciiTheme="minorHAnsi" w:hAnsiTheme="minorHAnsi"/>
          <w:noProof/>
          <w:sz w:val="22"/>
          <w:lang w:eastAsia="en-GB"/>
        </w:rPr>
        <w:t xml:space="preserve"> and </w:t>
      </w:r>
      <w:r w:rsidR="00450F5B">
        <w:rPr>
          <w:rFonts w:asciiTheme="minorHAnsi" w:hAnsiTheme="minorHAnsi"/>
          <w:noProof/>
          <w:sz w:val="22"/>
          <w:lang w:eastAsia="en-GB"/>
        </w:rPr>
        <w:t xml:space="preserve">subnational </w:t>
      </w:r>
      <w:r w:rsidR="00850CB9">
        <w:rPr>
          <w:rFonts w:asciiTheme="minorHAnsi" w:hAnsiTheme="minorHAnsi"/>
          <w:noProof/>
          <w:sz w:val="22"/>
          <w:lang w:eastAsia="en-GB"/>
        </w:rPr>
        <w:t xml:space="preserve">government) </w:t>
      </w:r>
      <w:r w:rsidR="002B2F5A">
        <w:rPr>
          <w:rFonts w:asciiTheme="minorHAnsi" w:hAnsiTheme="minorHAnsi"/>
          <w:noProof/>
          <w:sz w:val="22"/>
          <w:lang w:eastAsia="en-GB"/>
        </w:rPr>
        <w:t xml:space="preserve">will need ongoing capacity development.  Whereas to support </w:t>
      </w:r>
      <w:r w:rsidR="00E27C82">
        <w:rPr>
          <w:rFonts w:asciiTheme="minorHAnsi" w:hAnsiTheme="minorHAnsi"/>
          <w:noProof/>
          <w:sz w:val="22"/>
          <w:lang w:eastAsia="en-GB"/>
        </w:rPr>
        <w:t xml:space="preserve">implementation of a </w:t>
      </w:r>
      <w:r w:rsidR="002B2F5A">
        <w:rPr>
          <w:rFonts w:asciiTheme="minorHAnsi" w:hAnsiTheme="minorHAnsi"/>
          <w:noProof/>
          <w:sz w:val="22"/>
          <w:lang w:eastAsia="en-GB"/>
        </w:rPr>
        <w:t xml:space="preserve">risk informed </w:t>
      </w:r>
      <w:r w:rsidR="00803839" w:rsidRPr="00527901">
        <w:rPr>
          <w:rFonts w:asciiTheme="minorHAnsi" w:hAnsiTheme="minorHAnsi"/>
          <w:sz w:val="22"/>
        </w:rPr>
        <w:t>regulatory framework</w:t>
      </w:r>
      <w:r w:rsidR="00E27C82">
        <w:rPr>
          <w:rFonts w:asciiTheme="minorHAnsi" w:hAnsiTheme="minorHAnsi"/>
          <w:sz w:val="22"/>
        </w:rPr>
        <w:t>, key professionals (e.g. engineers, masons and builders) will need</w:t>
      </w:r>
      <w:r w:rsidR="00803839" w:rsidRPr="00527901">
        <w:rPr>
          <w:rFonts w:asciiTheme="minorHAnsi" w:hAnsiTheme="minorHAnsi"/>
          <w:sz w:val="22"/>
        </w:rPr>
        <w:t xml:space="preserve"> </w:t>
      </w:r>
      <w:r w:rsidR="00803839" w:rsidRPr="00E27C82">
        <w:rPr>
          <w:rFonts w:asciiTheme="minorHAnsi" w:hAnsiTheme="minorHAnsi"/>
          <w:sz w:val="22"/>
        </w:rPr>
        <w:t>training</w:t>
      </w:r>
      <w:r w:rsidR="00E27C82">
        <w:rPr>
          <w:rFonts w:asciiTheme="minorHAnsi" w:hAnsiTheme="minorHAnsi"/>
          <w:sz w:val="22"/>
        </w:rPr>
        <w:t xml:space="preserve">, </w:t>
      </w:r>
      <w:r w:rsidR="00803839" w:rsidRPr="00E27C82">
        <w:rPr>
          <w:rFonts w:asciiTheme="minorHAnsi" w:hAnsiTheme="minorHAnsi"/>
          <w:sz w:val="22"/>
        </w:rPr>
        <w:t xml:space="preserve">certification </w:t>
      </w:r>
      <w:r w:rsidR="00E27C82">
        <w:rPr>
          <w:rFonts w:asciiTheme="minorHAnsi" w:hAnsiTheme="minorHAnsi"/>
          <w:sz w:val="22"/>
        </w:rPr>
        <w:t xml:space="preserve">or technical guidance </w:t>
      </w:r>
      <w:r w:rsidR="00803839" w:rsidRPr="00527901">
        <w:rPr>
          <w:rFonts w:asciiTheme="minorHAnsi" w:hAnsiTheme="minorHAnsi"/>
          <w:sz w:val="22"/>
        </w:rPr>
        <w:t xml:space="preserve">to correctly apply these codes and regulations. </w:t>
      </w:r>
      <w:r w:rsidR="002B2F5A">
        <w:rPr>
          <w:rFonts w:asciiTheme="minorHAnsi" w:hAnsiTheme="minorHAnsi"/>
          <w:sz w:val="22"/>
        </w:rPr>
        <w:t xml:space="preserve"> Community capacities will also need to be enhanced to ensure that identification of community development </w:t>
      </w:r>
      <w:r w:rsidR="00450F5B">
        <w:rPr>
          <w:rFonts w:asciiTheme="minorHAnsi" w:hAnsiTheme="minorHAnsi"/>
          <w:sz w:val="22"/>
        </w:rPr>
        <w:t xml:space="preserve">priorities </w:t>
      </w:r>
      <w:r w:rsidR="00E27C82">
        <w:rPr>
          <w:rFonts w:asciiTheme="minorHAnsi" w:hAnsiTheme="minorHAnsi"/>
          <w:sz w:val="22"/>
        </w:rPr>
        <w:t>(as part of “bottom up planning”</w:t>
      </w:r>
      <w:r w:rsidR="00450F5B">
        <w:rPr>
          <w:rFonts w:asciiTheme="minorHAnsi" w:hAnsiTheme="minorHAnsi"/>
          <w:sz w:val="22"/>
        </w:rPr>
        <w:t xml:space="preserve">) </w:t>
      </w:r>
      <w:r w:rsidR="00850CB9">
        <w:rPr>
          <w:rFonts w:asciiTheme="minorHAnsi" w:hAnsiTheme="minorHAnsi"/>
          <w:sz w:val="22"/>
        </w:rPr>
        <w:t>includes</w:t>
      </w:r>
      <w:r w:rsidR="00450F5B">
        <w:rPr>
          <w:rFonts w:asciiTheme="minorHAnsi" w:hAnsiTheme="minorHAnsi"/>
          <w:sz w:val="22"/>
        </w:rPr>
        <w:t xml:space="preserve"> identification of possible </w:t>
      </w:r>
      <w:r w:rsidR="002B2F5A">
        <w:rPr>
          <w:rFonts w:asciiTheme="minorHAnsi" w:hAnsiTheme="minorHAnsi"/>
          <w:sz w:val="22"/>
        </w:rPr>
        <w:t>disaster and climate change risk</w:t>
      </w:r>
      <w:r w:rsidR="00850CB9">
        <w:rPr>
          <w:rFonts w:asciiTheme="minorHAnsi" w:hAnsiTheme="minorHAnsi"/>
          <w:sz w:val="22"/>
        </w:rPr>
        <w:t xml:space="preserve"> and ways to manage these</w:t>
      </w:r>
      <w:r w:rsidR="002B2F5A">
        <w:rPr>
          <w:rFonts w:asciiTheme="minorHAnsi" w:hAnsiTheme="minorHAnsi"/>
          <w:sz w:val="22"/>
        </w:rPr>
        <w:t xml:space="preserve">. </w:t>
      </w:r>
    </w:p>
    <w:p w14:paraId="3A2F82A8" w14:textId="77777777" w:rsidR="002B2F5A" w:rsidRPr="00450F5B" w:rsidRDefault="002B2F5A" w:rsidP="002B2F5A">
      <w:pPr>
        <w:pStyle w:val="ListParagraph"/>
        <w:ind w:left="360"/>
        <w:jc w:val="both"/>
        <w:rPr>
          <w:rFonts w:asciiTheme="minorHAnsi" w:hAnsiTheme="minorHAnsi"/>
          <w:b/>
          <w:i/>
          <w:noProof/>
          <w:color w:val="C00000"/>
          <w:sz w:val="22"/>
          <w:lang w:eastAsia="en-GB"/>
        </w:rPr>
      </w:pPr>
    </w:p>
    <w:p w14:paraId="4BB42CF0" w14:textId="4D6778FD" w:rsidR="002B2F5A" w:rsidRPr="00450F5B" w:rsidRDefault="002B2F5A" w:rsidP="00EB2C64">
      <w:pPr>
        <w:pStyle w:val="ListParagraph"/>
        <w:ind w:left="360"/>
        <w:jc w:val="both"/>
        <w:rPr>
          <w:rFonts w:asciiTheme="minorHAnsi" w:hAnsiTheme="minorHAnsi"/>
          <w:b/>
          <w:i/>
          <w:noProof/>
          <w:color w:val="C00000"/>
          <w:sz w:val="22"/>
          <w:lang w:eastAsia="en-GB"/>
        </w:rPr>
      </w:pPr>
      <w:r w:rsidRPr="00450F5B">
        <w:rPr>
          <w:b/>
          <w:i/>
          <w:noProof/>
          <w:color w:val="C00000"/>
          <w:lang w:val="en-US"/>
        </w:rPr>
        <w:drawing>
          <wp:anchor distT="0" distB="0" distL="114300" distR="114300" simplePos="0" relativeHeight="251938816" behindDoc="1" locked="0" layoutInCell="1" allowOverlap="1" wp14:anchorId="5A2CDF15" wp14:editId="0677180D">
            <wp:simplePos x="0" y="0"/>
            <wp:positionH relativeFrom="margin">
              <wp:posOffset>258892</wp:posOffset>
            </wp:positionH>
            <wp:positionV relativeFrom="paragraph">
              <wp:posOffset>77136</wp:posOffset>
            </wp:positionV>
            <wp:extent cx="333375" cy="333375"/>
            <wp:effectExtent l="0" t="0" r="9525" b="9525"/>
            <wp:wrapTight wrapText="bothSides">
              <wp:wrapPolygon edited="0">
                <wp:start x="0" y="0"/>
                <wp:lineTo x="0" y="20983"/>
                <wp:lineTo x="20983" y="20983"/>
                <wp:lineTo x="20983" y="0"/>
                <wp:lineTo x="0" y="0"/>
              </wp:wrapPolygon>
            </wp:wrapTight>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prstClr val="black"/>
                        <a:srgbClr val="C00000">
                          <a:tint val="45000"/>
                          <a:satMod val="400000"/>
                        </a:srgbClr>
                      </a:duotone>
                    </a:blip>
                    <a:stretch>
                      <a:fillRect/>
                    </a:stretch>
                  </pic:blipFill>
                  <pic:spPr>
                    <a:xfrm>
                      <a:off x="0" y="0"/>
                      <a:ext cx="333375" cy="333375"/>
                    </a:xfrm>
                    <a:prstGeom prst="rect">
                      <a:avLst/>
                    </a:prstGeom>
                  </pic:spPr>
                </pic:pic>
              </a:graphicData>
            </a:graphic>
            <wp14:sizeRelV relativeFrom="margin">
              <wp14:pctHeight>0</wp14:pctHeight>
            </wp14:sizeRelV>
          </wp:anchor>
        </w:drawing>
      </w:r>
      <w:r w:rsidRPr="00450F5B">
        <w:rPr>
          <w:rFonts w:asciiTheme="minorHAnsi" w:hAnsiTheme="minorHAnsi"/>
          <w:b/>
          <w:i/>
          <w:color w:val="C00000"/>
          <w:sz w:val="22"/>
        </w:rPr>
        <w:t>Support for this entry point ensure</w:t>
      </w:r>
      <w:r w:rsidR="00850CB9">
        <w:rPr>
          <w:rFonts w:asciiTheme="minorHAnsi" w:hAnsiTheme="minorHAnsi"/>
          <w:b/>
          <w:i/>
          <w:color w:val="C00000"/>
          <w:sz w:val="22"/>
        </w:rPr>
        <w:t>s</w:t>
      </w:r>
      <w:r w:rsidRPr="00450F5B">
        <w:rPr>
          <w:rFonts w:asciiTheme="minorHAnsi" w:hAnsiTheme="minorHAnsi"/>
          <w:b/>
          <w:i/>
          <w:color w:val="C00000"/>
          <w:sz w:val="22"/>
        </w:rPr>
        <w:t xml:space="preserve"> there is sufficient “in-house” capacity to drive mainstreaming from within the go</w:t>
      </w:r>
      <w:r w:rsidR="00450F5B" w:rsidRPr="00450F5B">
        <w:rPr>
          <w:rFonts w:asciiTheme="minorHAnsi" w:hAnsiTheme="minorHAnsi"/>
          <w:b/>
          <w:i/>
          <w:color w:val="C00000"/>
          <w:sz w:val="22"/>
        </w:rPr>
        <w:t xml:space="preserve">vernment agencies at all levels and </w:t>
      </w:r>
      <w:r w:rsidR="00850CB9">
        <w:rPr>
          <w:rFonts w:asciiTheme="minorHAnsi" w:hAnsiTheme="minorHAnsi"/>
          <w:b/>
          <w:i/>
          <w:color w:val="C00000"/>
          <w:sz w:val="22"/>
        </w:rPr>
        <w:t xml:space="preserve">essential capacity of </w:t>
      </w:r>
      <w:r w:rsidR="00450F5B" w:rsidRPr="00450F5B">
        <w:rPr>
          <w:rFonts w:asciiTheme="minorHAnsi" w:hAnsiTheme="minorHAnsi"/>
          <w:b/>
          <w:i/>
          <w:color w:val="C00000"/>
          <w:sz w:val="22"/>
        </w:rPr>
        <w:t xml:space="preserve">key </w:t>
      </w:r>
      <w:r w:rsidR="00850CB9">
        <w:rPr>
          <w:rFonts w:asciiTheme="minorHAnsi" w:hAnsiTheme="minorHAnsi"/>
          <w:b/>
          <w:i/>
          <w:color w:val="C00000"/>
          <w:sz w:val="22"/>
        </w:rPr>
        <w:t xml:space="preserve">implementing </w:t>
      </w:r>
      <w:r w:rsidR="00450F5B" w:rsidRPr="00450F5B">
        <w:rPr>
          <w:rFonts w:asciiTheme="minorHAnsi" w:hAnsiTheme="minorHAnsi"/>
          <w:b/>
          <w:i/>
          <w:color w:val="C00000"/>
          <w:sz w:val="22"/>
        </w:rPr>
        <w:t>stakeholders.</w:t>
      </w:r>
    </w:p>
    <w:p w14:paraId="094B157A" w14:textId="77777777" w:rsidR="006815BC" w:rsidRDefault="006815BC" w:rsidP="006815BC">
      <w:pPr>
        <w:pStyle w:val="ListParagraph"/>
        <w:ind w:left="360"/>
        <w:jc w:val="both"/>
        <w:rPr>
          <w:rFonts w:asciiTheme="minorHAnsi" w:hAnsiTheme="minorHAnsi"/>
          <w:sz w:val="22"/>
        </w:rPr>
      </w:pPr>
    </w:p>
    <w:p w14:paraId="3CCCAA52" w14:textId="1670267C" w:rsidR="00F474DC" w:rsidRDefault="00870C2E" w:rsidP="006815BC">
      <w:pPr>
        <w:pStyle w:val="ListParagraph"/>
        <w:numPr>
          <w:ilvl w:val="0"/>
          <w:numId w:val="12"/>
        </w:numPr>
        <w:jc w:val="both"/>
        <w:rPr>
          <w:rFonts w:asciiTheme="minorHAnsi" w:hAnsiTheme="minorHAnsi"/>
          <w:sz w:val="22"/>
        </w:rPr>
      </w:pPr>
      <w:r w:rsidRPr="006815BC">
        <w:rPr>
          <w:rFonts w:asciiTheme="minorHAnsi" w:hAnsiTheme="minorHAnsi"/>
          <w:b/>
          <w:noProof/>
          <w:sz w:val="22"/>
          <w:lang w:eastAsia="en-GB"/>
        </w:rPr>
        <w:t>Procedures</w:t>
      </w:r>
      <w:r w:rsidR="00F474DC">
        <w:rPr>
          <w:rFonts w:asciiTheme="minorHAnsi" w:hAnsiTheme="minorHAnsi"/>
          <w:b/>
          <w:noProof/>
          <w:sz w:val="22"/>
          <w:lang w:eastAsia="en-GB"/>
        </w:rPr>
        <w:t xml:space="preserve"> and</w:t>
      </w:r>
      <w:r w:rsidRPr="006815BC">
        <w:rPr>
          <w:rFonts w:asciiTheme="minorHAnsi" w:hAnsiTheme="minorHAnsi"/>
          <w:b/>
          <w:noProof/>
          <w:sz w:val="22"/>
          <w:lang w:eastAsia="en-GB"/>
        </w:rPr>
        <w:t xml:space="preserve"> </w:t>
      </w:r>
      <w:r w:rsidRPr="00F474DC">
        <w:rPr>
          <w:rFonts w:asciiTheme="minorHAnsi" w:hAnsiTheme="minorHAnsi"/>
          <w:b/>
          <w:noProof/>
          <w:sz w:val="22"/>
          <w:lang w:eastAsia="en-GB"/>
        </w:rPr>
        <w:t>tools</w:t>
      </w:r>
      <w:r w:rsidR="00D97DE3" w:rsidRPr="00F474DC">
        <w:rPr>
          <w:rFonts w:asciiTheme="minorHAnsi" w:hAnsiTheme="minorHAnsi"/>
          <w:b/>
          <w:noProof/>
          <w:sz w:val="22"/>
          <w:lang w:eastAsia="en-GB"/>
        </w:rPr>
        <w:t>:</w:t>
      </w:r>
      <w:r w:rsidR="00D97DE3" w:rsidRPr="00F474DC">
        <w:rPr>
          <w:rFonts w:asciiTheme="minorHAnsi" w:hAnsiTheme="minorHAnsi"/>
          <w:noProof/>
          <w:sz w:val="22"/>
          <w:lang w:eastAsia="en-GB"/>
        </w:rPr>
        <w:t xml:space="preserve"> </w:t>
      </w:r>
      <w:r w:rsidR="000B1A77" w:rsidRPr="00F474DC">
        <w:rPr>
          <w:rFonts w:asciiTheme="minorHAnsi" w:hAnsiTheme="minorHAnsi"/>
          <w:noProof/>
          <w:sz w:val="22"/>
          <w:lang w:eastAsia="en-GB"/>
        </w:rPr>
        <w:t>internal</w:t>
      </w:r>
      <w:r w:rsidR="000B1A77" w:rsidRPr="006815BC">
        <w:rPr>
          <w:rFonts w:asciiTheme="minorHAnsi" w:hAnsiTheme="minorHAnsi"/>
          <w:noProof/>
          <w:sz w:val="22"/>
          <w:lang w:eastAsia="en-GB"/>
        </w:rPr>
        <w:t xml:space="preserve"> procedures and supporting tools are required to gu</w:t>
      </w:r>
      <w:r w:rsidR="008F3200">
        <w:rPr>
          <w:rFonts w:asciiTheme="minorHAnsi" w:hAnsiTheme="minorHAnsi"/>
          <w:noProof/>
          <w:sz w:val="22"/>
          <w:lang w:eastAsia="en-GB"/>
        </w:rPr>
        <w:t xml:space="preserve">ide actions by key individuals </w:t>
      </w:r>
      <w:r w:rsidR="000B1A77" w:rsidRPr="006815BC">
        <w:rPr>
          <w:rFonts w:asciiTheme="minorHAnsi" w:hAnsiTheme="minorHAnsi"/>
          <w:noProof/>
          <w:sz w:val="22"/>
          <w:lang w:eastAsia="en-GB"/>
        </w:rPr>
        <w:t>in support of risk informed development</w:t>
      </w:r>
      <w:r w:rsidR="000B1A77">
        <w:rPr>
          <w:rFonts w:asciiTheme="minorHAnsi" w:hAnsiTheme="minorHAnsi"/>
          <w:noProof/>
          <w:sz w:val="22"/>
          <w:lang w:eastAsia="en-GB"/>
        </w:rPr>
        <w:t xml:space="preserve">.  </w:t>
      </w:r>
      <w:r w:rsidR="006655C1">
        <w:rPr>
          <w:rFonts w:asciiTheme="minorHAnsi" w:hAnsiTheme="minorHAnsi"/>
          <w:noProof/>
          <w:sz w:val="22"/>
          <w:u w:val="single"/>
          <w:lang w:eastAsia="en-GB"/>
        </w:rPr>
        <w:t>P</w:t>
      </w:r>
      <w:r w:rsidR="006655C1" w:rsidRPr="006815BC">
        <w:rPr>
          <w:rFonts w:asciiTheme="minorHAnsi" w:hAnsiTheme="minorHAnsi"/>
          <w:sz w:val="22"/>
          <w:u w:val="single"/>
        </w:rPr>
        <w:t>ro</w:t>
      </w:r>
      <w:r w:rsidR="006655C1">
        <w:rPr>
          <w:rFonts w:asciiTheme="minorHAnsi" w:hAnsiTheme="minorHAnsi"/>
          <w:sz w:val="22"/>
          <w:u w:val="single"/>
        </w:rPr>
        <w:t>ce</w:t>
      </w:r>
      <w:r w:rsidR="006655C1" w:rsidRPr="006815BC">
        <w:rPr>
          <w:rFonts w:asciiTheme="minorHAnsi" w:hAnsiTheme="minorHAnsi"/>
          <w:sz w:val="22"/>
          <w:u w:val="single"/>
        </w:rPr>
        <w:t>dures</w:t>
      </w:r>
      <w:r w:rsidR="002B2F5A" w:rsidRPr="006655C1">
        <w:rPr>
          <w:rFonts w:asciiTheme="minorHAnsi" w:hAnsiTheme="minorHAnsi"/>
          <w:sz w:val="22"/>
        </w:rPr>
        <w:t xml:space="preserve"> </w:t>
      </w:r>
      <w:r w:rsidR="002B2F5A" w:rsidRPr="006815BC">
        <w:rPr>
          <w:rFonts w:asciiTheme="minorHAnsi" w:hAnsiTheme="minorHAnsi"/>
          <w:sz w:val="22"/>
        </w:rPr>
        <w:t>are</w:t>
      </w:r>
      <w:r w:rsidR="00450F5B">
        <w:rPr>
          <w:rFonts w:asciiTheme="minorHAnsi" w:hAnsiTheme="minorHAnsi"/>
          <w:sz w:val="22"/>
        </w:rPr>
        <w:t>: i)</w:t>
      </w:r>
      <w:r w:rsidR="002B2F5A" w:rsidRPr="006815BC">
        <w:rPr>
          <w:rFonts w:asciiTheme="minorHAnsi" w:hAnsiTheme="minorHAnsi"/>
          <w:sz w:val="22"/>
        </w:rPr>
        <w:t xml:space="preserve"> </w:t>
      </w:r>
      <w:r w:rsidR="00F474DC" w:rsidRPr="006815BC">
        <w:rPr>
          <w:rFonts w:asciiTheme="minorHAnsi" w:hAnsiTheme="minorHAnsi"/>
          <w:sz w:val="22"/>
        </w:rPr>
        <w:t>routini</w:t>
      </w:r>
      <w:r w:rsidR="00F474DC">
        <w:rPr>
          <w:rFonts w:asciiTheme="minorHAnsi" w:hAnsiTheme="minorHAnsi"/>
          <w:sz w:val="22"/>
        </w:rPr>
        <w:t>z</w:t>
      </w:r>
      <w:r w:rsidR="00F474DC" w:rsidRPr="006815BC">
        <w:rPr>
          <w:rFonts w:asciiTheme="minorHAnsi" w:hAnsiTheme="minorHAnsi"/>
          <w:sz w:val="22"/>
        </w:rPr>
        <w:t>ed</w:t>
      </w:r>
      <w:r w:rsidR="002B2F5A" w:rsidRPr="006815BC">
        <w:rPr>
          <w:rFonts w:asciiTheme="minorHAnsi" w:hAnsiTheme="minorHAnsi"/>
          <w:sz w:val="22"/>
        </w:rPr>
        <w:t xml:space="preserve"> daily activities associated with different points of </w:t>
      </w:r>
      <w:r w:rsidR="002B2F5A">
        <w:rPr>
          <w:rFonts w:asciiTheme="minorHAnsi" w:hAnsiTheme="minorHAnsi"/>
          <w:sz w:val="22"/>
        </w:rPr>
        <w:t>a department or agencies’</w:t>
      </w:r>
      <w:r w:rsidR="002B2F5A" w:rsidRPr="006815BC">
        <w:rPr>
          <w:rFonts w:asciiTheme="minorHAnsi" w:hAnsiTheme="minorHAnsi"/>
          <w:sz w:val="22"/>
        </w:rPr>
        <w:t xml:space="preserve"> programme cycle</w:t>
      </w:r>
      <w:r w:rsidR="00450F5B">
        <w:rPr>
          <w:rFonts w:asciiTheme="minorHAnsi" w:hAnsiTheme="minorHAnsi"/>
          <w:sz w:val="22"/>
        </w:rPr>
        <w:t xml:space="preserve">; </w:t>
      </w:r>
      <w:r w:rsidR="002B2F5A" w:rsidRPr="006815BC">
        <w:rPr>
          <w:rFonts w:asciiTheme="minorHAnsi" w:hAnsiTheme="minorHAnsi"/>
          <w:sz w:val="22"/>
        </w:rPr>
        <w:t xml:space="preserve"> and </w:t>
      </w:r>
      <w:r w:rsidR="00450F5B">
        <w:rPr>
          <w:rFonts w:asciiTheme="minorHAnsi" w:hAnsiTheme="minorHAnsi"/>
          <w:sz w:val="22"/>
        </w:rPr>
        <w:t xml:space="preserve">ii) </w:t>
      </w:r>
      <w:r w:rsidR="002B2F5A" w:rsidRPr="006815BC">
        <w:rPr>
          <w:rFonts w:asciiTheme="minorHAnsi" w:hAnsiTheme="minorHAnsi"/>
          <w:sz w:val="22"/>
        </w:rPr>
        <w:t xml:space="preserve">the rules governing actions between and within institutions and individuals. </w:t>
      </w:r>
      <w:r w:rsidR="007C2071">
        <w:rPr>
          <w:rFonts w:asciiTheme="minorHAnsi" w:hAnsiTheme="minorHAnsi"/>
          <w:sz w:val="22"/>
        </w:rPr>
        <w:t xml:space="preserve">  It is important to ensure that</w:t>
      </w:r>
      <w:r w:rsidR="007C2071" w:rsidRPr="007C2071">
        <w:rPr>
          <w:rFonts w:asciiTheme="minorHAnsi" w:hAnsiTheme="minorHAnsi"/>
          <w:sz w:val="22"/>
        </w:rPr>
        <w:t xml:space="preserve"> </w:t>
      </w:r>
      <w:r w:rsidR="007C2071" w:rsidRPr="006815BC">
        <w:rPr>
          <w:rFonts w:asciiTheme="minorHAnsi" w:hAnsiTheme="minorHAnsi"/>
          <w:sz w:val="22"/>
        </w:rPr>
        <w:t xml:space="preserve">responsibility for </w:t>
      </w:r>
      <w:r w:rsidR="007C2071">
        <w:rPr>
          <w:rFonts w:asciiTheme="minorHAnsi" w:hAnsiTheme="minorHAnsi"/>
          <w:sz w:val="22"/>
        </w:rPr>
        <w:t>climate change and disaster risk issues including implementation of policies and plans are</w:t>
      </w:r>
      <w:r w:rsidR="007C2071" w:rsidRPr="006815BC">
        <w:rPr>
          <w:rFonts w:asciiTheme="minorHAnsi" w:hAnsiTheme="minorHAnsi"/>
          <w:sz w:val="22"/>
        </w:rPr>
        <w:t xml:space="preserve"> reinforced by </w:t>
      </w:r>
      <w:r w:rsidR="007C2071" w:rsidRPr="00CF7FD3">
        <w:rPr>
          <w:rFonts w:asciiTheme="minorHAnsi" w:hAnsiTheme="minorHAnsi"/>
          <w:sz w:val="22"/>
          <w:u w:val="single"/>
        </w:rPr>
        <w:t>internal procedures and incentives for individuals and organisations to engage</w:t>
      </w:r>
      <w:r w:rsidR="007C2071" w:rsidRPr="006815BC">
        <w:rPr>
          <w:rFonts w:asciiTheme="minorHAnsi" w:hAnsiTheme="minorHAnsi"/>
          <w:sz w:val="22"/>
        </w:rPr>
        <w:t xml:space="preserve">. </w:t>
      </w:r>
      <w:r w:rsidR="006655C1">
        <w:rPr>
          <w:rFonts w:asciiTheme="minorHAnsi" w:hAnsiTheme="minorHAnsi"/>
          <w:sz w:val="22"/>
        </w:rPr>
        <w:t>Most importantly, for DRR and CCA to</w:t>
      </w:r>
      <w:r w:rsidR="007C2071" w:rsidRPr="006815BC">
        <w:rPr>
          <w:rFonts w:asciiTheme="minorHAnsi" w:hAnsiTheme="minorHAnsi"/>
          <w:sz w:val="22"/>
        </w:rPr>
        <w:t xml:space="preserve"> be fully integrated into an organi</w:t>
      </w:r>
      <w:r w:rsidR="006655C1">
        <w:rPr>
          <w:rFonts w:asciiTheme="minorHAnsi" w:hAnsiTheme="minorHAnsi"/>
          <w:sz w:val="22"/>
        </w:rPr>
        <w:t>s</w:t>
      </w:r>
      <w:r w:rsidR="007C2071" w:rsidRPr="006815BC">
        <w:rPr>
          <w:rFonts w:asciiTheme="minorHAnsi" w:hAnsiTheme="minorHAnsi"/>
          <w:sz w:val="22"/>
        </w:rPr>
        <w:t xml:space="preserve">ation, procedures must exist to ensure that assessments and planning exercises for DRR do not remain one-off exercises </w:t>
      </w:r>
      <w:r w:rsidR="001456B1">
        <w:rPr>
          <w:rFonts w:asciiTheme="minorHAnsi" w:hAnsiTheme="minorHAnsi"/>
          <w:sz w:val="22"/>
        </w:rPr>
        <w:t>are fully institutionalized, e.g. through risk screening guidelines/tools for sector planners; and</w:t>
      </w:r>
      <w:r w:rsidR="001456B1" w:rsidRPr="006815BC">
        <w:rPr>
          <w:rFonts w:asciiTheme="minorHAnsi" w:hAnsiTheme="minorHAnsi"/>
          <w:sz w:val="22"/>
        </w:rPr>
        <w:t xml:space="preserve"> checklists in approval mechanisms</w:t>
      </w:r>
      <w:r w:rsidR="001456B1">
        <w:rPr>
          <w:rFonts w:asciiTheme="minorHAnsi" w:hAnsiTheme="minorHAnsi"/>
          <w:sz w:val="22"/>
        </w:rPr>
        <w:t xml:space="preserve"> incorporating risk</w:t>
      </w:r>
      <w:r w:rsidR="001456B1" w:rsidRPr="006815BC">
        <w:rPr>
          <w:rFonts w:asciiTheme="minorHAnsi" w:hAnsiTheme="minorHAnsi"/>
          <w:sz w:val="22"/>
        </w:rPr>
        <w:t xml:space="preserve">. </w:t>
      </w:r>
      <w:r w:rsidR="001456B1">
        <w:rPr>
          <w:rFonts w:asciiTheme="minorHAnsi" w:hAnsiTheme="minorHAnsi"/>
          <w:noProof/>
          <w:sz w:val="22"/>
          <w:lang w:eastAsia="en-GB"/>
        </w:rPr>
        <w:t xml:space="preserve"> </w:t>
      </w:r>
    </w:p>
    <w:p w14:paraId="57452A58" w14:textId="77777777" w:rsidR="00F474DC" w:rsidRDefault="00F474DC" w:rsidP="00F474DC">
      <w:pPr>
        <w:pStyle w:val="ListParagraph"/>
        <w:ind w:left="360"/>
        <w:jc w:val="both"/>
        <w:rPr>
          <w:rFonts w:asciiTheme="minorHAnsi" w:hAnsiTheme="minorHAnsi"/>
          <w:sz w:val="22"/>
        </w:rPr>
      </w:pPr>
    </w:p>
    <w:p w14:paraId="34251B31" w14:textId="5A0D1313" w:rsidR="002B2F5A" w:rsidRPr="00DE27CE" w:rsidRDefault="002B2F5A" w:rsidP="006655C1">
      <w:pPr>
        <w:pStyle w:val="ListParagraph"/>
        <w:ind w:left="360"/>
        <w:jc w:val="both"/>
        <w:rPr>
          <w:rFonts w:asciiTheme="minorHAnsi" w:hAnsiTheme="minorHAnsi"/>
          <w:b/>
          <w:i/>
          <w:noProof/>
          <w:color w:val="C00000"/>
          <w:sz w:val="22"/>
          <w:lang w:eastAsia="en-GB"/>
        </w:rPr>
      </w:pPr>
      <w:bookmarkStart w:id="40" w:name="_Toc451409708"/>
      <w:r w:rsidRPr="00DE27CE">
        <w:rPr>
          <w:b/>
          <w:i/>
          <w:noProof/>
          <w:color w:val="C00000"/>
          <w:lang w:val="en-US"/>
        </w:rPr>
        <w:drawing>
          <wp:anchor distT="0" distB="0" distL="114300" distR="114300" simplePos="0" relativeHeight="251940864" behindDoc="1" locked="0" layoutInCell="1" allowOverlap="1" wp14:anchorId="0E90FB40" wp14:editId="5009BD6A">
            <wp:simplePos x="0" y="0"/>
            <wp:positionH relativeFrom="margin">
              <wp:posOffset>291696</wp:posOffset>
            </wp:positionH>
            <wp:positionV relativeFrom="paragraph">
              <wp:posOffset>21417</wp:posOffset>
            </wp:positionV>
            <wp:extent cx="333375" cy="333375"/>
            <wp:effectExtent l="0" t="0" r="9525" b="9525"/>
            <wp:wrapTight wrapText="bothSides">
              <wp:wrapPolygon edited="0">
                <wp:start x="0" y="0"/>
                <wp:lineTo x="0" y="20983"/>
                <wp:lineTo x="20983" y="20983"/>
                <wp:lineTo x="20983" y="0"/>
                <wp:lineTo x="0" y="0"/>
              </wp:wrapPolygon>
            </wp:wrapTight>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prstClr val="black"/>
                        <a:srgbClr val="C00000">
                          <a:tint val="45000"/>
                          <a:satMod val="400000"/>
                        </a:srgbClr>
                      </a:duotone>
                    </a:blip>
                    <a:stretch>
                      <a:fillRect/>
                    </a:stretch>
                  </pic:blipFill>
                  <pic:spPr>
                    <a:xfrm>
                      <a:off x="0" y="0"/>
                      <a:ext cx="333375" cy="333375"/>
                    </a:xfrm>
                    <a:prstGeom prst="rect">
                      <a:avLst/>
                    </a:prstGeom>
                  </pic:spPr>
                </pic:pic>
              </a:graphicData>
            </a:graphic>
            <wp14:sizeRelV relativeFrom="margin">
              <wp14:pctHeight>0</wp14:pctHeight>
            </wp14:sizeRelV>
          </wp:anchor>
        </w:drawing>
      </w:r>
      <w:r w:rsidRPr="00DE27CE">
        <w:rPr>
          <w:rFonts w:asciiTheme="minorHAnsi" w:hAnsiTheme="minorHAnsi"/>
          <w:b/>
          <w:i/>
          <w:color w:val="C00000"/>
          <w:sz w:val="22"/>
        </w:rPr>
        <w:t xml:space="preserve">Support for this entry point will promote </w:t>
      </w:r>
      <w:r w:rsidR="00DE27CE">
        <w:rPr>
          <w:rFonts w:asciiTheme="minorHAnsi" w:hAnsiTheme="minorHAnsi"/>
          <w:b/>
          <w:i/>
          <w:color w:val="C00000"/>
          <w:sz w:val="22"/>
        </w:rPr>
        <w:t>risk informed procedures and tools and their daily use as part of the “new norm.”</w:t>
      </w:r>
    </w:p>
    <w:p w14:paraId="04D7359C" w14:textId="5C400849" w:rsidR="002B2F5A" w:rsidRDefault="002B2F5A" w:rsidP="002B2F5A">
      <w:pPr>
        <w:jc w:val="both"/>
      </w:pPr>
    </w:p>
    <w:p w14:paraId="2BD9DB21" w14:textId="287D3366" w:rsidR="00F474DC" w:rsidRPr="00116F3D" w:rsidRDefault="006655C1" w:rsidP="00F474DC">
      <w:pPr>
        <w:pStyle w:val="ListParagraph"/>
        <w:numPr>
          <w:ilvl w:val="0"/>
          <w:numId w:val="12"/>
        </w:numPr>
        <w:jc w:val="both"/>
        <w:rPr>
          <w:rFonts w:asciiTheme="minorHAnsi" w:hAnsiTheme="minorHAnsi"/>
          <w:i/>
          <w:noProof/>
          <w:sz w:val="22"/>
          <w:lang w:eastAsia="en-GB"/>
        </w:rPr>
      </w:pPr>
      <w:r w:rsidRPr="006655C1">
        <w:rPr>
          <w:rFonts w:ascii="Calibri" w:hAnsi="Calibri"/>
          <w:b/>
          <w:sz w:val="22"/>
        </w:rPr>
        <w:t>Programmes and Projects.</w:t>
      </w:r>
      <w:r>
        <w:rPr>
          <w:rFonts w:ascii="Calibri" w:hAnsi="Calibri"/>
          <w:b/>
          <w:sz w:val="22"/>
        </w:rPr>
        <w:t xml:space="preserve">  </w:t>
      </w:r>
      <w:r>
        <w:rPr>
          <w:rFonts w:ascii="Calibri" w:hAnsi="Calibri"/>
          <w:sz w:val="22"/>
        </w:rPr>
        <w:t xml:space="preserve"> </w:t>
      </w:r>
      <w:r w:rsidR="00F474DC">
        <w:rPr>
          <w:rFonts w:asciiTheme="minorHAnsi" w:hAnsiTheme="minorHAnsi"/>
          <w:sz w:val="22"/>
        </w:rPr>
        <w:t xml:space="preserve">The focus must be on risk informing </w:t>
      </w:r>
      <w:r w:rsidR="001456B1">
        <w:rPr>
          <w:rFonts w:asciiTheme="minorHAnsi" w:hAnsiTheme="minorHAnsi"/>
          <w:sz w:val="22"/>
        </w:rPr>
        <w:t>the project and programme cycle as well as the results frameworks and related budgets,</w:t>
      </w:r>
      <w:r w:rsidR="00F474DC" w:rsidRPr="006815BC">
        <w:rPr>
          <w:rFonts w:asciiTheme="minorHAnsi" w:hAnsiTheme="minorHAnsi"/>
          <w:sz w:val="22"/>
        </w:rPr>
        <w:t xml:space="preserve"> project </w:t>
      </w:r>
      <w:r w:rsidR="00F474DC">
        <w:rPr>
          <w:rFonts w:asciiTheme="minorHAnsi" w:hAnsiTheme="minorHAnsi"/>
          <w:sz w:val="22"/>
        </w:rPr>
        <w:t>proposal forms</w:t>
      </w:r>
      <w:r w:rsidR="001456B1">
        <w:rPr>
          <w:rFonts w:asciiTheme="minorHAnsi" w:hAnsiTheme="minorHAnsi"/>
          <w:sz w:val="22"/>
        </w:rPr>
        <w:t xml:space="preserve"> </w:t>
      </w:r>
      <w:r w:rsidR="001456B1" w:rsidRPr="001456B1">
        <w:rPr>
          <w:rFonts w:asciiTheme="minorHAnsi" w:hAnsiTheme="minorHAnsi"/>
          <w:sz w:val="22"/>
          <w:highlight w:val="yellow"/>
        </w:rPr>
        <w:t>[to be finalized].</w:t>
      </w:r>
      <w:r w:rsidR="00F474DC">
        <w:rPr>
          <w:rFonts w:asciiTheme="minorHAnsi" w:hAnsiTheme="minorHAnsi"/>
          <w:noProof/>
          <w:sz w:val="22"/>
          <w:lang w:eastAsia="en-GB"/>
        </w:rPr>
        <w:t xml:space="preserve"> </w:t>
      </w:r>
    </w:p>
    <w:p w14:paraId="1830E256" w14:textId="09C1E765" w:rsidR="006815BC" w:rsidRPr="006815BC" w:rsidRDefault="006815BC" w:rsidP="00F474DC">
      <w:pPr>
        <w:pStyle w:val="ListParagraph"/>
        <w:ind w:left="360"/>
        <w:jc w:val="both"/>
      </w:pPr>
    </w:p>
    <w:p w14:paraId="17FFF84C" w14:textId="6060197A" w:rsidR="006655C1" w:rsidRPr="00021508" w:rsidRDefault="006655C1" w:rsidP="006655C1">
      <w:pPr>
        <w:pStyle w:val="ListParagraph"/>
        <w:ind w:left="360"/>
        <w:jc w:val="both"/>
        <w:rPr>
          <w:rFonts w:asciiTheme="minorHAnsi" w:hAnsiTheme="minorHAnsi"/>
          <w:b/>
          <w:i/>
          <w:noProof/>
          <w:color w:val="C00000"/>
          <w:sz w:val="22"/>
          <w:lang w:eastAsia="en-GB"/>
        </w:rPr>
      </w:pPr>
      <w:r w:rsidRPr="00021508">
        <w:rPr>
          <w:b/>
          <w:i/>
          <w:noProof/>
          <w:color w:val="C00000"/>
          <w:lang w:val="en-US"/>
        </w:rPr>
        <w:drawing>
          <wp:anchor distT="0" distB="0" distL="114300" distR="114300" simplePos="0" relativeHeight="251954176" behindDoc="1" locked="0" layoutInCell="1" allowOverlap="1" wp14:anchorId="51E5415E" wp14:editId="6309911B">
            <wp:simplePos x="0" y="0"/>
            <wp:positionH relativeFrom="margin">
              <wp:posOffset>291696</wp:posOffset>
            </wp:positionH>
            <wp:positionV relativeFrom="paragraph">
              <wp:posOffset>21417</wp:posOffset>
            </wp:positionV>
            <wp:extent cx="333375" cy="333375"/>
            <wp:effectExtent l="0" t="0" r="9525" b="9525"/>
            <wp:wrapTight wrapText="bothSides">
              <wp:wrapPolygon edited="0">
                <wp:start x="0" y="0"/>
                <wp:lineTo x="0" y="20983"/>
                <wp:lineTo x="20983" y="20983"/>
                <wp:lineTo x="20983" y="0"/>
                <wp:lineTo x="0" y="0"/>
              </wp:wrapPolygon>
            </wp:wrapTight>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prstClr val="black"/>
                        <a:srgbClr val="C00000">
                          <a:tint val="45000"/>
                          <a:satMod val="400000"/>
                        </a:srgbClr>
                      </a:duotone>
                    </a:blip>
                    <a:stretch>
                      <a:fillRect/>
                    </a:stretch>
                  </pic:blipFill>
                  <pic:spPr>
                    <a:xfrm>
                      <a:off x="0" y="0"/>
                      <a:ext cx="333375" cy="333375"/>
                    </a:xfrm>
                    <a:prstGeom prst="rect">
                      <a:avLst/>
                    </a:prstGeom>
                  </pic:spPr>
                </pic:pic>
              </a:graphicData>
            </a:graphic>
            <wp14:sizeRelV relativeFrom="margin">
              <wp14:pctHeight>0</wp14:pctHeight>
            </wp14:sizeRelV>
          </wp:anchor>
        </w:drawing>
      </w:r>
      <w:r w:rsidRPr="00021508">
        <w:rPr>
          <w:rFonts w:asciiTheme="minorHAnsi" w:hAnsiTheme="minorHAnsi"/>
          <w:b/>
          <w:i/>
          <w:color w:val="C00000"/>
          <w:sz w:val="22"/>
        </w:rPr>
        <w:t>Support for this entry point will promote</w:t>
      </w:r>
      <w:r w:rsidR="00F474DC">
        <w:rPr>
          <w:rFonts w:asciiTheme="minorHAnsi" w:hAnsiTheme="minorHAnsi"/>
          <w:b/>
          <w:i/>
          <w:color w:val="C00000"/>
          <w:sz w:val="22"/>
        </w:rPr>
        <w:t xml:space="preserve"> </w:t>
      </w:r>
      <w:r w:rsidR="001456B1">
        <w:rPr>
          <w:rFonts w:asciiTheme="minorHAnsi" w:hAnsiTheme="minorHAnsi"/>
          <w:i/>
          <w:sz w:val="22"/>
          <w:highlight w:val="yellow"/>
        </w:rPr>
        <w:t>[to be finalized</w:t>
      </w:r>
      <w:r w:rsidR="00F474DC" w:rsidRPr="001456B1">
        <w:rPr>
          <w:rFonts w:asciiTheme="minorHAnsi" w:hAnsiTheme="minorHAnsi"/>
          <w:i/>
          <w:sz w:val="22"/>
          <w:highlight w:val="yellow"/>
        </w:rPr>
        <w:t>]</w:t>
      </w:r>
      <w:r w:rsidRPr="001456B1">
        <w:rPr>
          <w:rFonts w:asciiTheme="minorHAnsi" w:hAnsiTheme="minorHAnsi"/>
          <w:b/>
          <w:i/>
          <w:sz w:val="22"/>
        </w:rPr>
        <w:t xml:space="preserve"> </w:t>
      </w:r>
    </w:p>
    <w:p w14:paraId="04554BD0" w14:textId="789047D4" w:rsidR="00CA3D6E" w:rsidRPr="007A3226" w:rsidRDefault="00CA3D6E" w:rsidP="00C45FC4">
      <w:pPr>
        <w:pStyle w:val="ListParagraph"/>
        <w:numPr>
          <w:ilvl w:val="0"/>
          <w:numId w:val="15"/>
        </w:numPr>
        <w:jc w:val="both"/>
        <w:rPr>
          <w:color w:val="FFFFFF" w:themeColor="background1"/>
          <w:sz w:val="36"/>
          <w:szCs w:val="36"/>
        </w:rPr>
      </w:pPr>
      <w:r w:rsidRPr="007A3226">
        <w:rPr>
          <w:color w:val="FFFFFF" w:themeColor="background1"/>
          <w:sz w:val="36"/>
          <w:szCs w:val="36"/>
        </w:rPr>
        <w:t>KEHOLDERS</w:t>
      </w:r>
      <w:bookmarkEnd w:id="40"/>
    </w:p>
    <w:p w14:paraId="574A19B1" w14:textId="1F3D6B96" w:rsidR="00C45FC4" w:rsidRDefault="00C45FC4">
      <w:r>
        <w:br w:type="page"/>
      </w:r>
    </w:p>
    <w:p w14:paraId="12551CC8" w14:textId="1B0E7BAD" w:rsidR="00CA3D6E" w:rsidRPr="00021508" w:rsidRDefault="00700C30" w:rsidP="00021508">
      <w:pPr>
        <w:pStyle w:val="Heading2"/>
        <w:shd w:val="clear" w:color="auto" w:fill="FFC000" w:themeFill="accent4"/>
        <w:rPr>
          <w:color w:val="FFFFFF" w:themeColor="background1"/>
          <w:sz w:val="36"/>
          <w:szCs w:val="36"/>
        </w:rPr>
      </w:pPr>
      <w:bookmarkStart w:id="41" w:name="_Toc451948706"/>
      <w:r w:rsidRPr="00021508">
        <w:rPr>
          <w:noProof/>
          <w:color w:val="FFFFFF" w:themeColor="background1"/>
          <w:sz w:val="36"/>
          <w:szCs w:val="36"/>
          <w:lang w:bidi="ar-SA"/>
        </w:rPr>
        <w:drawing>
          <wp:anchor distT="0" distB="0" distL="114300" distR="114300" simplePos="0" relativeHeight="251941888" behindDoc="1" locked="0" layoutInCell="1" allowOverlap="1" wp14:anchorId="7AF78F35" wp14:editId="554F503B">
            <wp:simplePos x="0" y="0"/>
            <wp:positionH relativeFrom="column">
              <wp:posOffset>4856124</wp:posOffset>
            </wp:positionH>
            <wp:positionV relativeFrom="paragraph">
              <wp:posOffset>51</wp:posOffset>
            </wp:positionV>
            <wp:extent cx="1837690" cy="988060"/>
            <wp:effectExtent l="0" t="0" r="0" b="2540"/>
            <wp:wrapTight wrapText="bothSides">
              <wp:wrapPolygon edited="0">
                <wp:start x="0" y="0"/>
                <wp:lineTo x="0" y="21239"/>
                <wp:lineTo x="21272" y="21239"/>
                <wp:lineTo x="21272" y="0"/>
                <wp:lineTo x="0" y="0"/>
              </wp:wrapPolygon>
            </wp:wrapTight>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37690" cy="988060"/>
                    </a:xfrm>
                    <a:prstGeom prst="rect">
                      <a:avLst/>
                    </a:prstGeom>
                  </pic:spPr>
                </pic:pic>
              </a:graphicData>
            </a:graphic>
            <wp14:sizeRelH relativeFrom="margin">
              <wp14:pctWidth>0</wp14:pctWidth>
            </wp14:sizeRelH>
            <wp14:sizeRelV relativeFrom="margin">
              <wp14:pctHeight>0</wp14:pctHeight>
            </wp14:sizeRelV>
          </wp:anchor>
        </w:drawing>
      </w:r>
      <w:r w:rsidR="00C45FC4" w:rsidRPr="00021508">
        <w:rPr>
          <w:color w:val="FFFFFF" w:themeColor="background1"/>
          <w:sz w:val="36"/>
          <w:szCs w:val="36"/>
        </w:rPr>
        <w:t>STAKEHOLDERS</w:t>
      </w:r>
      <w:bookmarkEnd w:id="41"/>
      <w:r w:rsidRPr="00021508">
        <w:rPr>
          <w:noProof/>
          <w:color w:val="FFFFFF" w:themeColor="background1"/>
          <w:sz w:val="36"/>
          <w:szCs w:val="36"/>
          <w:lang w:val="en-GB" w:eastAsia="en-GB" w:bidi="ar-SA"/>
        </w:rPr>
        <w:t xml:space="preserve"> </w:t>
      </w:r>
    </w:p>
    <w:p w14:paraId="667A0ABC" w14:textId="73FB5AEE" w:rsidR="00700C30" w:rsidRDefault="00700C30" w:rsidP="00AB5F5E">
      <w:pPr>
        <w:jc w:val="both"/>
        <w:rPr>
          <w:b/>
        </w:rPr>
      </w:pPr>
    </w:p>
    <w:p w14:paraId="0CDC4E35" w14:textId="371BDC25" w:rsidR="00700C30" w:rsidRPr="00700C30" w:rsidRDefault="00700C30" w:rsidP="00700C30">
      <w:pPr>
        <w:shd w:val="clear" w:color="auto" w:fill="FFF2CC" w:themeFill="accent4" w:themeFillTint="33"/>
        <w:jc w:val="both"/>
        <w:rPr>
          <w:b/>
        </w:rPr>
      </w:pPr>
      <w:r w:rsidRPr="00700C30">
        <w:rPr>
          <w:b/>
        </w:rPr>
        <w:t>PURPOSE:</w:t>
      </w:r>
    </w:p>
    <w:p w14:paraId="3E5BC074" w14:textId="7DE714E3" w:rsidR="00AB5F5E" w:rsidRPr="00CF7FD3" w:rsidRDefault="00823F5A" w:rsidP="00AB5F5E">
      <w:pPr>
        <w:jc w:val="both"/>
      </w:pPr>
      <w:r>
        <w:rPr>
          <w:b/>
        </w:rPr>
        <w:t>This</w:t>
      </w:r>
      <w:r w:rsidR="00CF7FD3">
        <w:rPr>
          <w:b/>
        </w:rPr>
        <w:t xml:space="preserve"> component will enable the involvement of critical actors in mainstreaming.  </w:t>
      </w:r>
      <w:r w:rsidR="00CF7FD3">
        <w:t xml:space="preserve">Government </w:t>
      </w:r>
      <w:r w:rsidR="00021508">
        <w:t>can</w:t>
      </w:r>
      <w:r w:rsidR="00CF7FD3">
        <w:t xml:space="preserve">not singlehandedly address the complexities of risk informed development, which requires an interdisciplinary and multi-level approach, </w:t>
      </w:r>
      <w:r w:rsidR="008D6888">
        <w:t>and</w:t>
      </w:r>
      <w:r w:rsidR="00021508">
        <w:t xml:space="preserve"> </w:t>
      </w:r>
      <w:r w:rsidR="00CF7FD3">
        <w:t>bring</w:t>
      </w:r>
      <w:r w:rsidR="00021508">
        <w:t>s</w:t>
      </w:r>
      <w:r w:rsidR="00CF7FD3">
        <w:t xml:space="preserve"> </w:t>
      </w:r>
      <w:r w:rsidR="00AB5F5E" w:rsidRPr="00021508">
        <w:t>together knowledge, skills and resources of different stakeholders (UNDP 10b).</w:t>
      </w:r>
      <w:r w:rsidR="00AB5F5E">
        <w:rPr>
          <w:i/>
        </w:rPr>
        <w:t xml:space="preserve">  </w:t>
      </w:r>
      <w:r w:rsidR="000F3FD2" w:rsidRPr="004212F0">
        <w:t>Evi</w:t>
      </w:r>
      <w:r w:rsidR="00021508">
        <w:t>dence from 17 countries</w:t>
      </w:r>
      <w:r w:rsidR="000F3FD2" w:rsidRPr="004212F0">
        <w:t xml:space="preserve">, identified that repeated long-term multi-sectoral engagement can lead to incremental progress in planning (UNDP, 2015).  </w:t>
      </w:r>
      <w:r w:rsidR="00CF7FD3">
        <w:t>I</w:t>
      </w:r>
      <w:r w:rsidR="00021508">
        <w:t>t is therefore important that i</w:t>
      </w:r>
      <w:r w:rsidR="00CF7FD3">
        <w:t>nstead, governments provide incentives for the engagement of other critical actors such as civil society and the private sector.</w:t>
      </w:r>
    </w:p>
    <w:p w14:paraId="60F2EDF7" w14:textId="0F72566B" w:rsidR="00AB5F5E" w:rsidRDefault="00CF7FD3" w:rsidP="00AB5F5E">
      <w:pPr>
        <w:jc w:val="both"/>
      </w:pPr>
      <w:r>
        <w:rPr>
          <w:b/>
        </w:rPr>
        <w:t>Strengthening t</w:t>
      </w:r>
      <w:r w:rsidR="00AB5F5E">
        <w:rPr>
          <w:b/>
        </w:rPr>
        <w:t xml:space="preserve">his component </w:t>
      </w:r>
      <w:r w:rsidR="007776AD">
        <w:rPr>
          <w:b/>
        </w:rPr>
        <w:t xml:space="preserve">and </w:t>
      </w:r>
      <w:r w:rsidR="00C80A59">
        <w:rPr>
          <w:b/>
        </w:rPr>
        <w:t>promoting</w:t>
      </w:r>
      <w:r w:rsidR="007776AD">
        <w:rPr>
          <w:b/>
        </w:rPr>
        <w:t xml:space="preserve"> eng</w:t>
      </w:r>
      <w:r w:rsidR="00021508">
        <w:rPr>
          <w:b/>
        </w:rPr>
        <w:t>agement of a range of actors</w:t>
      </w:r>
      <w:r w:rsidR="007776AD">
        <w:rPr>
          <w:b/>
        </w:rPr>
        <w:t xml:space="preserve"> will support implementation of risk informed development regulations, policies, plans, programmes and projects.</w:t>
      </w:r>
      <w:r w:rsidR="00AB5F5E">
        <w:t xml:space="preserve">  Only with </w:t>
      </w:r>
      <w:r w:rsidR="007776AD">
        <w:t xml:space="preserve">the </w:t>
      </w:r>
      <w:r w:rsidR="00AB5F5E">
        <w:t xml:space="preserve">participation and representation of citizens will a mainstreaming Action Plan have a sustainable and long-term impact.  </w:t>
      </w:r>
      <w:r w:rsidR="00AB5F5E">
        <w:rPr>
          <w:b/>
        </w:rPr>
        <w:t xml:space="preserve"> </w:t>
      </w:r>
      <w:r w:rsidR="000F3FD2">
        <w:t>F</w:t>
      </w:r>
      <w:r w:rsidR="000F3FD2" w:rsidRPr="004212F0">
        <w:t>or example, local governments can regulate land use and building construction, but private companies and NGOs often deliver key services and are responsible for large infrastructure projects, whil</w:t>
      </w:r>
      <w:r w:rsidR="00021508">
        <w:t>st</w:t>
      </w:r>
      <w:r w:rsidR="000F3FD2" w:rsidRPr="004212F0">
        <w:t xml:space="preserve"> households contribute la</w:t>
      </w:r>
      <w:r w:rsidR="00021508">
        <w:t>bour and assets to housing and</w:t>
      </w:r>
      <w:r w:rsidR="000F3FD2" w:rsidRPr="004212F0">
        <w:t xml:space="preserve"> other low-tech construction projects (ODI, 2012).  Despite best intentions of relevant authorities, efforts to be more inclusive of civil society and private sector actors, and to seek better representation of communities, women and vulnerable groups, have often proven insufficient to ensure their sustained engagement in decision-making processes and in the implementation of DRR</w:t>
      </w:r>
      <w:r w:rsidR="000F3FD2">
        <w:t>/CCA</w:t>
      </w:r>
      <w:r w:rsidR="000F3FD2" w:rsidRPr="004212F0">
        <w:t xml:space="preserve"> </w:t>
      </w:r>
      <w:r w:rsidR="00021508">
        <w:t>interventions</w:t>
      </w:r>
      <w:r w:rsidR="000F3FD2" w:rsidRPr="004212F0">
        <w:t>.</w:t>
      </w:r>
    </w:p>
    <w:p w14:paraId="0B474E9B" w14:textId="6E1D8B6E" w:rsidR="00671317" w:rsidRPr="00A926D7" w:rsidRDefault="00A926D7" w:rsidP="00AB5F5E">
      <w:pPr>
        <w:jc w:val="both"/>
        <w:rPr>
          <w:i/>
          <w:lang w:val="en-GB"/>
        </w:rPr>
      </w:pPr>
      <w:r>
        <w:rPr>
          <w:b/>
          <w:lang w:val="en-GB"/>
        </w:rPr>
        <w:t xml:space="preserve">Strengthening this component and supporting wider stakeholder involvement will ensure broader </w:t>
      </w:r>
      <w:r w:rsidRPr="00A926D7">
        <w:rPr>
          <w:b/>
          <w:lang w:val="en-GB"/>
        </w:rPr>
        <w:t>ownership and sustainability</w:t>
      </w:r>
      <w:r>
        <w:rPr>
          <w:lang w:val="en-GB"/>
        </w:rPr>
        <w:t xml:space="preserve"> </w:t>
      </w:r>
      <w:r w:rsidRPr="00A926D7">
        <w:rPr>
          <w:b/>
          <w:lang w:val="en-GB"/>
        </w:rPr>
        <w:t>of the mainstreaming process</w:t>
      </w:r>
      <w:r>
        <w:rPr>
          <w:lang w:val="en-GB"/>
        </w:rPr>
        <w:t xml:space="preserve">. </w:t>
      </w:r>
      <w:r w:rsidR="00671317" w:rsidRPr="001A65A8">
        <w:rPr>
          <w:lang w:val="en-GB"/>
        </w:rPr>
        <w:t xml:space="preserve">Putting all the components </w:t>
      </w:r>
      <w:r w:rsidR="00021508">
        <w:rPr>
          <w:lang w:val="en-GB"/>
        </w:rPr>
        <w:t>of this</w:t>
      </w:r>
      <w:r w:rsidR="00671317">
        <w:rPr>
          <w:lang w:val="en-GB"/>
        </w:rPr>
        <w:t xml:space="preserve"> mainstreaming </w:t>
      </w:r>
      <w:r>
        <w:rPr>
          <w:lang w:val="en-GB"/>
        </w:rPr>
        <w:t>tool</w:t>
      </w:r>
      <w:r w:rsidR="00671317">
        <w:rPr>
          <w:lang w:val="en-GB"/>
        </w:rPr>
        <w:t xml:space="preserve"> </w:t>
      </w:r>
      <w:r w:rsidR="00671317" w:rsidRPr="001A65A8">
        <w:rPr>
          <w:lang w:val="en-GB"/>
        </w:rPr>
        <w:t xml:space="preserve">into place </w:t>
      </w:r>
      <w:r w:rsidR="00021508">
        <w:rPr>
          <w:lang w:val="en-GB"/>
        </w:rPr>
        <w:t xml:space="preserve">therefore </w:t>
      </w:r>
      <w:r w:rsidR="00671317" w:rsidRPr="001A65A8">
        <w:rPr>
          <w:lang w:val="en-GB"/>
        </w:rPr>
        <w:t>requires collective action through co-operation, consultation and negotiation at different levels (local, nationa</w:t>
      </w:r>
      <w:r w:rsidR="00671317">
        <w:rPr>
          <w:lang w:val="en-GB"/>
        </w:rPr>
        <w:t>l and international) and between a variety of</w:t>
      </w:r>
      <w:r w:rsidR="00671317" w:rsidRPr="001A65A8">
        <w:rPr>
          <w:lang w:val="en-GB"/>
        </w:rPr>
        <w:t xml:space="preserve"> relevant actors</w:t>
      </w:r>
      <w:r w:rsidR="00671317">
        <w:rPr>
          <w:lang w:val="en-GB"/>
        </w:rPr>
        <w:t xml:space="preserve"> (different government authorities, legislators, academia, private sector, civil society and communities)</w:t>
      </w:r>
      <w:r w:rsidR="00671317" w:rsidRPr="001A65A8">
        <w:rPr>
          <w:lang w:val="en-GB"/>
        </w:rPr>
        <w:t>.</w:t>
      </w:r>
      <w:r w:rsidR="00671317">
        <w:rPr>
          <w:lang w:val="en-GB"/>
        </w:rPr>
        <w:t xml:space="preserve"> The participation and accountability </w:t>
      </w:r>
      <w:r w:rsidR="00021508">
        <w:rPr>
          <w:lang w:val="en-GB"/>
        </w:rPr>
        <w:t>of</w:t>
      </w:r>
      <w:r w:rsidR="00671317">
        <w:rPr>
          <w:lang w:val="en-GB"/>
        </w:rPr>
        <w:t xml:space="preserve"> communities will be of critical importance to ensure that all efforts have actual impact in reducing vulnerabilities on the ground.  </w:t>
      </w:r>
    </w:p>
    <w:p w14:paraId="2646A65F" w14:textId="6C8CAD78" w:rsidR="00700C30" w:rsidRPr="00700C30" w:rsidRDefault="00700C30" w:rsidP="00700C30">
      <w:pPr>
        <w:shd w:val="clear" w:color="auto" w:fill="FFF2CC" w:themeFill="accent4" w:themeFillTint="33"/>
        <w:jc w:val="both"/>
        <w:rPr>
          <w:b/>
        </w:rPr>
      </w:pPr>
      <w:r w:rsidRPr="00700C30">
        <w:rPr>
          <w:b/>
        </w:rPr>
        <w:t>ENTRY POINTS:</w:t>
      </w:r>
    </w:p>
    <w:p w14:paraId="5445C84B" w14:textId="73D2D6B6" w:rsidR="00700C30" w:rsidRPr="00E553F8" w:rsidRDefault="00700C30" w:rsidP="00700C30">
      <w:pPr>
        <w:jc w:val="both"/>
        <w:rPr>
          <w:b/>
        </w:rPr>
      </w:pPr>
      <w:r w:rsidRPr="00E553F8">
        <w:rPr>
          <w:b/>
        </w:rPr>
        <w:t xml:space="preserve">This component comprises </w:t>
      </w:r>
      <w:r>
        <w:rPr>
          <w:b/>
        </w:rPr>
        <w:t>four main</w:t>
      </w:r>
      <w:r w:rsidRPr="00E553F8">
        <w:rPr>
          <w:b/>
        </w:rPr>
        <w:t xml:space="preserve"> </w:t>
      </w:r>
      <w:r w:rsidR="00FB2B8F">
        <w:rPr>
          <w:b/>
        </w:rPr>
        <w:t>stakeholder groups</w:t>
      </w:r>
      <w:r w:rsidR="00842E2A">
        <w:rPr>
          <w:b/>
        </w:rPr>
        <w:t xml:space="preserve">. </w:t>
      </w:r>
      <w:r w:rsidR="00842E2A">
        <w:t>Mainstreaming will involve</w:t>
      </w:r>
      <w:r w:rsidR="00FB2B8F">
        <w:t xml:space="preserve"> support for one or more of those </w:t>
      </w:r>
      <w:r w:rsidR="00842E2A">
        <w:t>identified below.</w:t>
      </w:r>
    </w:p>
    <w:p w14:paraId="29A97CF1" w14:textId="11C0AE67" w:rsidR="004212F0" w:rsidRPr="00FB2B8F" w:rsidRDefault="00FB2B8F" w:rsidP="00176BDE">
      <w:pPr>
        <w:pStyle w:val="ListParagraph"/>
        <w:numPr>
          <w:ilvl w:val="0"/>
          <w:numId w:val="12"/>
        </w:numPr>
        <w:jc w:val="both"/>
        <w:rPr>
          <w:rFonts w:asciiTheme="minorHAnsi" w:hAnsiTheme="minorHAnsi"/>
          <w:b/>
          <w:sz w:val="22"/>
        </w:rPr>
      </w:pPr>
      <w:r>
        <w:rPr>
          <w:rFonts w:asciiTheme="minorHAnsi" w:hAnsiTheme="minorHAnsi"/>
          <w:b/>
          <w:sz w:val="22"/>
        </w:rPr>
        <w:t>Government:</w:t>
      </w:r>
      <w:r w:rsidR="004212F0">
        <w:rPr>
          <w:rFonts w:asciiTheme="minorHAnsi" w:hAnsiTheme="minorHAnsi"/>
          <w:b/>
          <w:sz w:val="22"/>
        </w:rPr>
        <w:t xml:space="preserve"> </w:t>
      </w:r>
      <w:r w:rsidR="00012CE3" w:rsidRPr="00FB2B8F">
        <w:rPr>
          <w:rFonts w:asciiTheme="minorHAnsi" w:hAnsiTheme="minorHAnsi"/>
          <w:sz w:val="22"/>
        </w:rPr>
        <w:t xml:space="preserve">Governments have the primary responsibility for implementing measures to reduce risk. Decision-makers, legislators and administrators at the national, sectoral, and local </w:t>
      </w:r>
      <w:r w:rsidR="00291BDC" w:rsidRPr="00FB2B8F">
        <w:rPr>
          <w:rFonts w:asciiTheme="minorHAnsi" w:hAnsiTheme="minorHAnsi"/>
          <w:sz w:val="22"/>
        </w:rPr>
        <w:t xml:space="preserve">levels </w:t>
      </w:r>
      <w:r w:rsidR="00012CE3" w:rsidRPr="00FB2B8F">
        <w:rPr>
          <w:rFonts w:asciiTheme="minorHAnsi" w:hAnsiTheme="minorHAnsi"/>
          <w:sz w:val="22"/>
        </w:rPr>
        <w:t xml:space="preserve">have to set the necessary regulations, provide resources, build capacities, plan, monitor and enforce the implementation of risk reduction </w:t>
      </w:r>
      <w:r w:rsidR="00291BDC" w:rsidRPr="00FB2B8F">
        <w:rPr>
          <w:rFonts w:asciiTheme="minorHAnsi" w:hAnsiTheme="minorHAnsi"/>
          <w:sz w:val="22"/>
        </w:rPr>
        <w:t xml:space="preserve">and adaptation </w:t>
      </w:r>
      <w:r w:rsidR="00012CE3" w:rsidRPr="00FB2B8F">
        <w:rPr>
          <w:rFonts w:asciiTheme="minorHAnsi" w:hAnsiTheme="minorHAnsi"/>
          <w:sz w:val="22"/>
        </w:rPr>
        <w:t>activities within development. Decentrali</w:t>
      </w:r>
      <w:r w:rsidR="00291BDC" w:rsidRPr="00FB2B8F">
        <w:rPr>
          <w:rFonts w:asciiTheme="minorHAnsi" w:hAnsiTheme="minorHAnsi"/>
          <w:sz w:val="22"/>
        </w:rPr>
        <w:t>s</w:t>
      </w:r>
      <w:r w:rsidR="00012CE3" w:rsidRPr="00FB2B8F">
        <w:rPr>
          <w:rFonts w:asciiTheme="minorHAnsi" w:hAnsiTheme="minorHAnsi"/>
          <w:sz w:val="22"/>
        </w:rPr>
        <w:t xml:space="preserve">ing responsibilities and resource can help to respond to local specific characteristics and motivate local actors to improve the delivery of development services in a more resilient nature. However, government will not be able to act alone but will require the involvement and cooperation of </w:t>
      </w:r>
      <w:r w:rsidR="00291BDC" w:rsidRPr="00FB2B8F">
        <w:rPr>
          <w:rFonts w:asciiTheme="minorHAnsi" w:hAnsiTheme="minorHAnsi"/>
          <w:sz w:val="22"/>
        </w:rPr>
        <w:t>other actors</w:t>
      </w:r>
      <w:r w:rsidR="00012CE3" w:rsidRPr="00FB2B8F">
        <w:rPr>
          <w:rFonts w:asciiTheme="minorHAnsi" w:hAnsiTheme="minorHAnsi"/>
          <w:sz w:val="22"/>
        </w:rPr>
        <w:t xml:space="preserve"> (UNDP, 2010)</w:t>
      </w:r>
      <w:r w:rsidR="00291BDC" w:rsidRPr="00FB2B8F">
        <w:rPr>
          <w:rFonts w:asciiTheme="minorHAnsi" w:hAnsiTheme="minorHAnsi"/>
          <w:sz w:val="22"/>
        </w:rPr>
        <w:t>.</w:t>
      </w:r>
    </w:p>
    <w:p w14:paraId="5AFC0400" w14:textId="4C989136" w:rsidR="00107CDF" w:rsidRPr="00FB2B8F" w:rsidRDefault="00107CDF" w:rsidP="00107CDF">
      <w:pPr>
        <w:pStyle w:val="ListParagraph"/>
        <w:ind w:left="360"/>
        <w:jc w:val="both"/>
        <w:rPr>
          <w:rFonts w:asciiTheme="minorHAnsi" w:hAnsiTheme="minorHAnsi"/>
          <w:i/>
          <w:sz w:val="22"/>
        </w:rPr>
      </w:pPr>
      <w:r w:rsidRPr="00107CDF">
        <w:rPr>
          <w:b/>
          <w:i/>
          <w:noProof/>
          <w:color w:val="FFC000" w:themeColor="accent4"/>
          <w:lang w:val="en-US"/>
        </w:rPr>
        <w:drawing>
          <wp:anchor distT="0" distB="0" distL="114300" distR="114300" simplePos="0" relativeHeight="251956224" behindDoc="1" locked="0" layoutInCell="1" allowOverlap="1" wp14:anchorId="11325556" wp14:editId="530075D8">
            <wp:simplePos x="0" y="0"/>
            <wp:positionH relativeFrom="margin">
              <wp:align>left</wp:align>
            </wp:positionH>
            <wp:positionV relativeFrom="paragraph">
              <wp:posOffset>4445</wp:posOffset>
            </wp:positionV>
            <wp:extent cx="333375" cy="333375"/>
            <wp:effectExtent l="0" t="0" r="9525" b="9525"/>
            <wp:wrapTight wrapText="bothSides">
              <wp:wrapPolygon edited="0">
                <wp:start x="0" y="0"/>
                <wp:lineTo x="0" y="20983"/>
                <wp:lineTo x="20983" y="20983"/>
                <wp:lineTo x="2098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4">
                          <a:shade val="45000"/>
                          <a:satMod val="135000"/>
                        </a:schemeClr>
                        <a:prstClr val="white"/>
                      </a:duotone>
                    </a:blip>
                    <a:stretch>
                      <a:fillRect/>
                    </a:stretch>
                  </pic:blipFill>
                  <pic:spPr>
                    <a:xfrm>
                      <a:off x="0" y="0"/>
                      <a:ext cx="333375" cy="333375"/>
                    </a:xfrm>
                    <a:prstGeom prst="rect">
                      <a:avLst/>
                    </a:prstGeom>
                  </pic:spPr>
                </pic:pic>
              </a:graphicData>
            </a:graphic>
            <wp14:sizeRelV relativeFrom="margin">
              <wp14:pctHeight>0</wp14:pctHeight>
            </wp14:sizeRelV>
          </wp:anchor>
        </w:drawing>
      </w:r>
      <w:r w:rsidR="00FB2B8F">
        <w:rPr>
          <w:rFonts w:asciiTheme="minorHAnsi" w:hAnsiTheme="minorHAnsi"/>
          <w:b/>
          <w:i/>
          <w:color w:val="FFC000" w:themeColor="accent4"/>
          <w:sz w:val="22"/>
        </w:rPr>
        <w:t xml:space="preserve">This </w:t>
      </w:r>
      <w:r w:rsidRPr="00107CDF">
        <w:rPr>
          <w:rFonts w:asciiTheme="minorHAnsi" w:hAnsiTheme="minorHAnsi"/>
          <w:b/>
          <w:i/>
          <w:color w:val="FFC000" w:themeColor="accent4"/>
          <w:sz w:val="22"/>
        </w:rPr>
        <w:t xml:space="preserve">entry point will </w:t>
      </w:r>
      <w:r w:rsidR="00FB2B8F">
        <w:rPr>
          <w:rFonts w:asciiTheme="minorHAnsi" w:hAnsiTheme="minorHAnsi"/>
          <w:i/>
          <w:sz w:val="22"/>
        </w:rPr>
        <w:t>[to be finalized]</w:t>
      </w:r>
    </w:p>
    <w:p w14:paraId="48810221" w14:textId="77777777" w:rsidR="00107CDF" w:rsidRPr="00012CE3" w:rsidRDefault="00107CDF" w:rsidP="00107CDF">
      <w:pPr>
        <w:pStyle w:val="ListParagraph"/>
        <w:ind w:left="360"/>
        <w:jc w:val="both"/>
        <w:rPr>
          <w:rFonts w:asciiTheme="minorHAnsi" w:hAnsiTheme="minorHAnsi"/>
          <w:b/>
          <w:i/>
          <w:sz w:val="22"/>
        </w:rPr>
      </w:pPr>
    </w:p>
    <w:p w14:paraId="2060F7C3" w14:textId="77777777" w:rsidR="004212F0" w:rsidRDefault="004212F0" w:rsidP="004212F0">
      <w:pPr>
        <w:pStyle w:val="ListParagraph"/>
        <w:ind w:left="360"/>
        <w:jc w:val="both"/>
        <w:rPr>
          <w:rFonts w:asciiTheme="minorHAnsi" w:hAnsiTheme="minorHAnsi"/>
          <w:b/>
          <w:sz w:val="22"/>
        </w:rPr>
      </w:pPr>
    </w:p>
    <w:p w14:paraId="4ABD1734" w14:textId="04A35839" w:rsidR="004212F0" w:rsidRPr="00107CDF" w:rsidRDefault="00924E7F" w:rsidP="00107CDF">
      <w:pPr>
        <w:pStyle w:val="ListParagraph"/>
        <w:numPr>
          <w:ilvl w:val="0"/>
          <w:numId w:val="73"/>
        </w:numPr>
        <w:spacing w:after="200"/>
        <w:jc w:val="both"/>
        <w:rPr>
          <w:rFonts w:asciiTheme="minorHAnsi" w:hAnsiTheme="minorHAnsi"/>
          <w:sz w:val="22"/>
        </w:rPr>
      </w:pPr>
      <w:r w:rsidRPr="00012CE3">
        <w:rPr>
          <w:rFonts w:asciiTheme="minorHAnsi" w:hAnsiTheme="minorHAnsi"/>
          <w:b/>
          <w:sz w:val="22"/>
        </w:rPr>
        <w:t xml:space="preserve">Civil society engagement: </w:t>
      </w:r>
      <w:r w:rsidR="000F3FD2" w:rsidRPr="00012CE3">
        <w:rPr>
          <w:rFonts w:asciiTheme="minorHAnsi" w:hAnsiTheme="minorHAnsi"/>
          <w:sz w:val="22"/>
        </w:rPr>
        <w:t xml:space="preserve">it is </w:t>
      </w:r>
      <w:r w:rsidR="004212F0" w:rsidRPr="00012CE3">
        <w:rPr>
          <w:rFonts w:asciiTheme="minorHAnsi" w:hAnsiTheme="minorHAnsi"/>
          <w:sz w:val="22"/>
        </w:rPr>
        <w:t>w</w:t>
      </w:r>
      <w:r w:rsidRPr="00012CE3">
        <w:rPr>
          <w:rFonts w:asciiTheme="minorHAnsi" w:hAnsiTheme="minorHAnsi"/>
          <w:sz w:val="22"/>
        </w:rPr>
        <w:t>idely recognised that DRR/CCA is a multi-stakeholder task that needs the involvement of many stakeholder groups, beyond government alone (IFRC/UNDP, 2015).</w:t>
      </w:r>
      <w:r w:rsidR="00012CE3" w:rsidRPr="00012CE3">
        <w:rPr>
          <w:rFonts w:asciiTheme="minorHAnsi" w:hAnsiTheme="minorHAnsi"/>
          <w:sz w:val="22"/>
        </w:rPr>
        <w:t xml:space="preserve"> </w:t>
      </w:r>
      <w:r w:rsidR="00012CE3" w:rsidRPr="00012CE3">
        <w:rPr>
          <w:rFonts w:asciiTheme="minorHAnsi" w:hAnsiTheme="minorHAnsi"/>
          <w:sz w:val="22"/>
          <w:u w:val="single"/>
        </w:rPr>
        <w:t>Community</w:t>
      </w:r>
      <w:r w:rsidR="00012CE3" w:rsidRPr="00012CE3">
        <w:rPr>
          <w:rFonts w:asciiTheme="minorHAnsi" w:hAnsiTheme="minorHAnsi"/>
          <w:sz w:val="22"/>
        </w:rPr>
        <w:t xml:space="preserve"> engagement is critical given local knowledge and capacities:</w:t>
      </w:r>
      <w:r w:rsidRPr="00012CE3">
        <w:rPr>
          <w:rFonts w:asciiTheme="minorHAnsi" w:hAnsiTheme="minorHAnsi"/>
          <w:sz w:val="22"/>
        </w:rPr>
        <w:t xml:space="preserve">  </w:t>
      </w:r>
      <w:r w:rsidRPr="00012CE3">
        <w:rPr>
          <w:i/>
        </w:rPr>
        <w:t>“</w:t>
      </w:r>
      <w:r w:rsidR="00012CE3" w:rsidRPr="00012CE3">
        <w:rPr>
          <w:rFonts w:asciiTheme="minorHAnsi" w:hAnsiTheme="minorHAnsi"/>
          <w:i/>
          <w:sz w:val="22"/>
        </w:rPr>
        <w:t>t</w:t>
      </w:r>
      <w:r w:rsidRPr="00012CE3">
        <w:rPr>
          <w:rFonts w:asciiTheme="minorHAnsi" w:hAnsiTheme="minorHAnsi"/>
          <w:i/>
          <w:sz w:val="22"/>
        </w:rPr>
        <w:t>he most critical component for mainstreaming DRR and CCA would be the community, the actual theatre for most of the activities</w:t>
      </w:r>
      <w:r w:rsidR="00107CDF">
        <w:rPr>
          <w:rFonts w:asciiTheme="minorHAnsi" w:hAnsiTheme="minorHAnsi"/>
          <w:i/>
          <w:sz w:val="22"/>
        </w:rPr>
        <w:t>”</w:t>
      </w:r>
      <w:r w:rsidR="00FB2B8F">
        <w:rPr>
          <w:rStyle w:val="FootnoteReference"/>
          <w:rFonts w:asciiTheme="minorHAnsi" w:hAnsiTheme="minorHAnsi"/>
          <w:i/>
          <w:sz w:val="22"/>
        </w:rPr>
        <w:footnoteReference w:id="12"/>
      </w:r>
      <w:r w:rsidR="00107CDF">
        <w:rPr>
          <w:rFonts w:asciiTheme="minorHAnsi" w:hAnsiTheme="minorHAnsi"/>
          <w:sz w:val="22"/>
        </w:rPr>
        <w:t>.</w:t>
      </w:r>
      <w:r w:rsidR="00012CE3" w:rsidRPr="00012CE3">
        <w:rPr>
          <w:rFonts w:asciiTheme="minorHAnsi" w:hAnsiTheme="minorHAnsi"/>
          <w:sz w:val="22"/>
        </w:rPr>
        <w:t xml:space="preserve">  Empowering communities also establishes a check and balance mechanism to ensure that local governments deliver</w:t>
      </w:r>
      <w:r w:rsidR="00C80A59">
        <w:rPr>
          <w:rFonts w:asciiTheme="minorHAnsi" w:hAnsiTheme="minorHAnsi"/>
          <w:sz w:val="22"/>
        </w:rPr>
        <w:t>,</w:t>
      </w:r>
      <w:r w:rsidR="00012CE3" w:rsidRPr="00012CE3">
        <w:rPr>
          <w:rFonts w:asciiTheme="minorHAnsi" w:hAnsiTheme="minorHAnsi"/>
          <w:sz w:val="22"/>
        </w:rPr>
        <w:t xml:space="preserve"> and private actors adhere to DRR/CCA commitments.  Similarly, </w:t>
      </w:r>
      <w:r w:rsidR="00012CE3" w:rsidRPr="00012CE3">
        <w:rPr>
          <w:rFonts w:asciiTheme="minorHAnsi" w:hAnsiTheme="minorHAnsi"/>
          <w:sz w:val="22"/>
          <w:u w:val="single"/>
        </w:rPr>
        <w:t>NGOs</w:t>
      </w:r>
      <w:r w:rsidR="00012CE3" w:rsidRPr="00012CE3">
        <w:rPr>
          <w:rFonts w:asciiTheme="minorHAnsi" w:hAnsiTheme="minorHAnsi"/>
          <w:sz w:val="22"/>
        </w:rPr>
        <w:t xml:space="preserve"> are important facilitators in the mainstreaming DRR process</w:t>
      </w:r>
      <w:r w:rsidR="00012CE3">
        <w:rPr>
          <w:rFonts w:asciiTheme="minorHAnsi" w:hAnsiTheme="minorHAnsi"/>
          <w:sz w:val="22"/>
        </w:rPr>
        <w:t xml:space="preserve">, can support capacity development and </w:t>
      </w:r>
      <w:r w:rsidR="00012CE3" w:rsidRPr="00012CE3">
        <w:rPr>
          <w:rFonts w:asciiTheme="minorHAnsi" w:hAnsiTheme="minorHAnsi"/>
          <w:sz w:val="22"/>
        </w:rPr>
        <w:t xml:space="preserve">are important actors </w:t>
      </w:r>
      <w:r w:rsidR="00107CDF">
        <w:rPr>
          <w:rFonts w:asciiTheme="minorHAnsi" w:hAnsiTheme="minorHAnsi"/>
          <w:sz w:val="22"/>
        </w:rPr>
        <w:t>for</w:t>
      </w:r>
      <w:r w:rsidR="00012CE3" w:rsidRPr="00012CE3">
        <w:rPr>
          <w:rFonts w:asciiTheme="minorHAnsi" w:hAnsiTheme="minorHAnsi"/>
          <w:sz w:val="22"/>
        </w:rPr>
        <w:t xml:space="preserve"> lobbying and campaigning for </w:t>
      </w:r>
      <w:r w:rsidR="00C80A59">
        <w:rPr>
          <w:rFonts w:asciiTheme="minorHAnsi" w:hAnsiTheme="minorHAnsi"/>
          <w:sz w:val="22"/>
        </w:rPr>
        <w:t>risk informed development</w:t>
      </w:r>
      <w:r w:rsidR="00012CE3" w:rsidRPr="00012CE3">
        <w:rPr>
          <w:rFonts w:asciiTheme="minorHAnsi" w:hAnsiTheme="minorHAnsi"/>
          <w:sz w:val="22"/>
        </w:rPr>
        <w:t>. Moreover</w:t>
      </w:r>
      <w:r w:rsidR="00012CE3">
        <w:rPr>
          <w:rFonts w:asciiTheme="minorHAnsi" w:hAnsiTheme="minorHAnsi"/>
          <w:sz w:val="22"/>
        </w:rPr>
        <w:t>,</w:t>
      </w:r>
      <w:r w:rsidR="00012CE3" w:rsidRPr="00012CE3">
        <w:rPr>
          <w:rFonts w:asciiTheme="minorHAnsi" w:hAnsiTheme="minorHAnsi"/>
          <w:sz w:val="22"/>
        </w:rPr>
        <w:t xml:space="preserve"> they </w:t>
      </w:r>
      <w:r w:rsidR="00671317">
        <w:rPr>
          <w:rFonts w:asciiTheme="minorHAnsi" w:hAnsiTheme="minorHAnsi"/>
          <w:sz w:val="22"/>
        </w:rPr>
        <w:t>are i</w:t>
      </w:r>
      <w:r w:rsidR="00012CE3" w:rsidRPr="00012CE3">
        <w:rPr>
          <w:rFonts w:asciiTheme="minorHAnsi" w:hAnsiTheme="minorHAnsi"/>
          <w:sz w:val="22"/>
        </w:rPr>
        <w:t xml:space="preserve">mportant actors </w:t>
      </w:r>
      <w:r w:rsidR="00671317">
        <w:rPr>
          <w:rFonts w:asciiTheme="minorHAnsi" w:hAnsiTheme="minorHAnsi"/>
          <w:sz w:val="22"/>
        </w:rPr>
        <w:t xml:space="preserve">to support implementation by </w:t>
      </w:r>
      <w:r w:rsidR="00012CE3" w:rsidRPr="00012CE3">
        <w:rPr>
          <w:rFonts w:asciiTheme="minorHAnsi" w:hAnsiTheme="minorHAnsi"/>
          <w:sz w:val="22"/>
        </w:rPr>
        <w:t>providing support to the government in delivering services and facilitating the participation of</w:t>
      </w:r>
      <w:r w:rsidR="00671317">
        <w:rPr>
          <w:rFonts w:asciiTheme="minorHAnsi" w:hAnsiTheme="minorHAnsi"/>
          <w:sz w:val="22"/>
        </w:rPr>
        <w:t xml:space="preserve"> communities.  Similarly, as identified in the “</w:t>
      </w:r>
      <w:r w:rsidR="00671317">
        <w:rPr>
          <w:rFonts w:asciiTheme="minorHAnsi" w:hAnsiTheme="minorHAnsi"/>
          <w:i/>
          <w:sz w:val="22"/>
        </w:rPr>
        <w:t xml:space="preserve">Knowledge component” </w:t>
      </w:r>
      <w:r w:rsidR="00671317">
        <w:rPr>
          <w:rFonts w:asciiTheme="minorHAnsi" w:hAnsiTheme="minorHAnsi"/>
          <w:sz w:val="22"/>
        </w:rPr>
        <w:t>mainstreaming will need to draw upon</w:t>
      </w:r>
      <w:r w:rsidR="00A926D7">
        <w:rPr>
          <w:rFonts w:asciiTheme="minorHAnsi" w:hAnsiTheme="minorHAnsi"/>
          <w:sz w:val="22"/>
        </w:rPr>
        <w:t xml:space="preserve"> </w:t>
      </w:r>
      <w:r w:rsidR="00A926D7" w:rsidRPr="00A926D7">
        <w:rPr>
          <w:rFonts w:asciiTheme="minorHAnsi" w:hAnsiTheme="minorHAnsi"/>
          <w:sz w:val="22"/>
          <w:u w:val="single"/>
        </w:rPr>
        <w:t>academia and research institutes</w:t>
      </w:r>
      <w:r w:rsidR="00A926D7">
        <w:rPr>
          <w:rFonts w:asciiTheme="minorHAnsi" w:hAnsiTheme="minorHAnsi"/>
          <w:sz w:val="22"/>
        </w:rPr>
        <w:t xml:space="preserve"> including the</w:t>
      </w:r>
      <w:r w:rsidR="00671317">
        <w:rPr>
          <w:rFonts w:asciiTheme="minorHAnsi" w:hAnsiTheme="minorHAnsi"/>
          <w:sz w:val="22"/>
        </w:rPr>
        <w:t xml:space="preserve"> </w:t>
      </w:r>
      <w:r w:rsidR="00012CE3" w:rsidRPr="00012CE3">
        <w:rPr>
          <w:rFonts w:asciiTheme="minorHAnsi" w:hAnsiTheme="minorHAnsi"/>
          <w:sz w:val="22"/>
        </w:rPr>
        <w:t>many fields of science and social science dealing with everything from social inclusion issues to engineering</w:t>
      </w:r>
      <w:r w:rsidR="00107CDF">
        <w:rPr>
          <w:rFonts w:asciiTheme="minorHAnsi" w:hAnsiTheme="minorHAnsi"/>
          <w:sz w:val="22"/>
        </w:rPr>
        <w:t>.  It</w:t>
      </w:r>
      <w:r w:rsidR="00671317">
        <w:rPr>
          <w:rFonts w:asciiTheme="minorHAnsi" w:hAnsiTheme="minorHAnsi"/>
          <w:sz w:val="22"/>
        </w:rPr>
        <w:t xml:space="preserve"> may be important</w:t>
      </w:r>
      <w:r w:rsidR="00012CE3" w:rsidRPr="00012CE3">
        <w:rPr>
          <w:rFonts w:asciiTheme="minorHAnsi" w:hAnsiTheme="minorHAnsi"/>
          <w:sz w:val="22"/>
        </w:rPr>
        <w:t xml:space="preserve"> </w:t>
      </w:r>
      <w:r w:rsidR="00671317">
        <w:rPr>
          <w:rFonts w:asciiTheme="minorHAnsi" w:hAnsiTheme="minorHAnsi"/>
          <w:sz w:val="22"/>
        </w:rPr>
        <w:t xml:space="preserve">for ministries to </w:t>
      </w:r>
      <w:r w:rsidR="00012CE3" w:rsidRPr="00012CE3">
        <w:rPr>
          <w:rFonts w:asciiTheme="minorHAnsi" w:hAnsiTheme="minorHAnsi"/>
          <w:sz w:val="22"/>
        </w:rPr>
        <w:t xml:space="preserve">recruit technical experts to directly deliver certain services, </w:t>
      </w:r>
      <w:r w:rsidR="00107CDF">
        <w:rPr>
          <w:rFonts w:asciiTheme="minorHAnsi" w:hAnsiTheme="minorHAnsi"/>
          <w:sz w:val="22"/>
        </w:rPr>
        <w:t>or help</w:t>
      </w:r>
      <w:r w:rsidR="00012CE3" w:rsidRPr="00012CE3">
        <w:rPr>
          <w:rFonts w:asciiTheme="minorHAnsi" w:hAnsiTheme="minorHAnsi"/>
          <w:sz w:val="22"/>
        </w:rPr>
        <w:t xml:space="preserve"> train stakeholders</w:t>
      </w:r>
      <w:r w:rsidR="00671317">
        <w:rPr>
          <w:rFonts w:asciiTheme="minorHAnsi" w:hAnsiTheme="minorHAnsi"/>
          <w:sz w:val="22"/>
        </w:rPr>
        <w:t xml:space="preserve">. </w:t>
      </w:r>
      <w:r w:rsidR="00A926D7">
        <w:rPr>
          <w:rFonts w:asciiTheme="minorHAnsi" w:hAnsiTheme="minorHAnsi"/>
          <w:sz w:val="22"/>
        </w:rPr>
        <w:t xml:space="preserve">Finally, </w:t>
      </w:r>
      <w:r w:rsidR="00671317" w:rsidRPr="00A926D7">
        <w:rPr>
          <w:rFonts w:asciiTheme="minorHAnsi" w:hAnsiTheme="minorHAnsi"/>
          <w:sz w:val="22"/>
        </w:rPr>
        <w:t xml:space="preserve">the </w:t>
      </w:r>
      <w:r w:rsidR="00671317" w:rsidRPr="00A926D7">
        <w:rPr>
          <w:rFonts w:asciiTheme="minorHAnsi" w:hAnsiTheme="minorHAnsi"/>
          <w:sz w:val="22"/>
          <w:u w:val="single"/>
        </w:rPr>
        <w:t>media</w:t>
      </w:r>
      <w:r w:rsidR="00671317" w:rsidRPr="00A926D7">
        <w:rPr>
          <w:rFonts w:asciiTheme="minorHAnsi" w:hAnsiTheme="minorHAnsi"/>
          <w:sz w:val="22"/>
        </w:rPr>
        <w:t xml:space="preserve"> is </w:t>
      </w:r>
      <w:r w:rsidR="00107CDF">
        <w:rPr>
          <w:rFonts w:asciiTheme="minorHAnsi" w:hAnsiTheme="minorHAnsi"/>
          <w:sz w:val="22"/>
        </w:rPr>
        <w:t>a key partner</w:t>
      </w:r>
      <w:r w:rsidR="00671317" w:rsidRPr="00A926D7">
        <w:rPr>
          <w:rFonts w:asciiTheme="minorHAnsi" w:hAnsiTheme="minorHAnsi"/>
          <w:sz w:val="22"/>
        </w:rPr>
        <w:t xml:space="preserve"> in</w:t>
      </w:r>
      <w:r w:rsidR="00671317" w:rsidRPr="00A926D7">
        <w:rPr>
          <w:rFonts w:asciiTheme="minorHAnsi" w:hAnsiTheme="minorHAnsi"/>
          <w:b/>
          <w:sz w:val="22"/>
        </w:rPr>
        <w:t xml:space="preserve"> </w:t>
      </w:r>
      <w:r w:rsidR="00671317" w:rsidRPr="00A926D7">
        <w:rPr>
          <w:rFonts w:asciiTheme="minorHAnsi" w:hAnsiTheme="minorHAnsi"/>
          <w:sz w:val="22"/>
        </w:rPr>
        <w:t>advocacy</w:t>
      </w:r>
      <w:r w:rsidR="00107CDF">
        <w:rPr>
          <w:rFonts w:asciiTheme="minorHAnsi" w:hAnsiTheme="minorHAnsi"/>
          <w:sz w:val="22"/>
        </w:rPr>
        <w:t>,</w:t>
      </w:r>
      <w:r w:rsidR="00A926D7">
        <w:rPr>
          <w:rFonts w:asciiTheme="minorHAnsi" w:hAnsiTheme="minorHAnsi"/>
          <w:sz w:val="22"/>
        </w:rPr>
        <w:t xml:space="preserve"> can </w:t>
      </w:r>
      <w:r w:rsidR="00671317" w:rsidRPr="00A926D7">
        <w:rPr>
          <w:rFonts w:asciiTheme="minorHAnsi" w:hAnsiTheme="minorHAnsi"/>
          <w:sz w:val="22"/>
        </w:rPr>
        <w:t>investigat</w:t>
      </w:r>
      <w:r w:rsidR="00A926D7">
        <w:rPr>
          <w:rFonts w:asciiTheme="minorHAnsi" w:hAnsiTheme="minorHAnsi"/>
          <w:sz w:val="22"/>
        </w:rPr>
        <w:t>e</w:t>
      </w:r>
      <w:r w:rsidR="00671317" w:rsidRPr="00A926D7">
        <w:rPr>
          <w:rFonts w:asciiTheme="minorHAnsi" w:hAnsiTheme="minorHAnsi"/>
          <w:sz w:val="22"/>
        </w:rPr>
        <w:t xml:space="preserve"> and expos</w:t>
      </w:r>
      <w:r w:rsidR="00A926D7">
        <w:rPr>
          <w:rFonts w:asciiTheme="minorHAnsi" w:hAnsiTheme="minorHAnsi"/>
          <w:sz w:val="22"/>
        </w:rPr>
        <w:t>e poor practice</w:t>
      </w:r>
      <w:r w:rsidR="00C80A59">
        <w:rPr>
          <w:rFonts w:asciiTheme="minorHAnsi" w:hAnsiTheme="minorHAnsi"/>
          <w:sz w:val="22"/>
        </w:rPr>
        <w:t>,</w:t>
      </w:r>
      <w:r w:rsidR="00A926D7">
        <w:rPr>
          <w:rFonts w:asciiTheme="minorHAnsi" w:hAnsiTheme="minorHAnsi"/>
          <w:sz w:val="22"/>
        </w:rPr>
        <w:t xml:space="preserve"> can </w:t>
      </w:r>
      <w:r w:rsidR="00671317" w:rsidRPr="00A926D7">
        <w:rPr>
          <w:rFonts w:asciiTheme="minorHAnsi" w:hAnsiTheme="minorHAnsi"/>
          <w:sz w:val="22"/>
        </w:rPr>
        <w:t>apply pressure on politicians, authorities, or private actors</w:t>
      </w:r>
      <w:r w:rsidR="00107CDF">
        <w:rPr>
          <w:rFonts w:asciiTheme="minorHAnsi" w:hAnsiTheme="minorHAnsi"/>
          <w:sz w:val="22"/>
        </w:rPr>
        <w:t>, but can also</w:t>
      </w:r>
      <w:r w:rsidR="00671317" w:rsidRPr="00A926D7">
        <w:rPr>
          <w:rFonts w:asciiTheme="minorHAnsi" w:hAnsiTheme="minorHAnsi"/>
          <w:sz w:val="22"/>
        </w:rPr>
        <w:t xml:space="preserve"> raise awareness of communities and constituencies on the need for risk reduction</w:t>
      </w:r>
      <w:r w:rsidR="00107CDF">
        <w:rPr>
          <w:rFonts w:asciiTheme="minorHAnsi" w:hAnsiTheme="minorHAnsi"/>
          <w:sz w:val="22"/>
        </w:rPr>
        <w:t xml:space="preserve"> and adaptation</w:t>
      </w:r>
      <w:r w:rsidR="00671317" w:rsidRPr="00A926D7">
        <w:rPr>
          <w:rFonts w:asciiTheme="minorHAnsi" w:hAnsiTheme="minorHAnsi"/>
          <w:b/>
          <w:sz w:val="22"/>
        </w:rPr>
        <w:t>.</w:t>
      </w:r>
    </w:p>
    <w:p w14:paraId="010D00F7" w14:textId="77777777" w:rsidR="00107CDF" w:rsidRPr="00107CDF" w:rsidRDefault="00107CDF" w:rsidP="00107CDF">
      <w:pPr>
        <w:pStyle w:val="ListParagraph"/>
        <w:spacing w:after="200"/>
        <w:ind w:left="360"/>
        <w:jc w:val="both"/>
        <w:rPr>
          <w:rFonts w:asciiTheme="minorHAnsi" w:hAnsiTheme="minorHAnsi"/>
          <w:sz w:val="22"/>
        </w:rPr>
      </w:pPr>
    </w:p>
    <w:p w14:paraId="07E45AE7" w14:textId="68B0A697" w:rsidR="004212F0" w:rsidRPr="00107CDF" w:rsidRDefault="004212F0" w:rsidP="004212F0">
      <w:pPr>
        <w:pStyle w:val="ListParagraph"/>
        <w:ind w:left="360"/>
        <w:jc w:val="both"/>
        <w:rPr>
          <w:rFonts w:asciiTheme="minorHAnsi" w:hAnsiTheme="minorHAnsi"/>
          <w:b/>
          <w:i/>
          <w:color w:val="FFC000" w:themeColor="accent4"/>
          <w:sz w:val="22"/>
        </w:rPr>
      </w:pPr>
      <w:r w:rsidRPr="00107CDF">
        <w:rPr>
          <w:b/>
          <w:i/>
          <w:noProof/>
          <w:color w:val="FFC000" w:themeColor="accent4"/>
          <w:lang w:val="en-US"/>
        </w:rPr>
        <w:drawing>
          <wp:anchor distT="0" distB="0" distL="114300" distR="114300" simplePos="0" relativeHeight="251945984" behindDoc="1" locked="0" layoutInCell="1" allowOverlap="1" wp14:anchorId="3DE68BCD" wp14:editId="3DC02EAD">
            <wp:simplePos x="0" y="0"/>
            <wp:positionH relativeFrom="margin">
              <wp:align>left</wp:align>
            </wp:positionH>
            <wp:positionV relativeFrom="paragraph">
              <wp:posOffset>4445</wp:posOffset>
            </wp:positionV>
            <wp:extent cx="333375" cy="333375"/>
            <wp:effectExtent l="0" t="0" r="9525" b="9525"/>
            <wp:wrapTight wrapText="bothSides">
              <wp:wrapPolygon edited="0">
                <wp:start x="0" y="0"/>
                <wp:lineTo x="0" y="20983"/>
                <wp:lineTo x="20983" y="20983"/>
                <wp:lineTo x="2098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4">
                          <a:shade val="45000"/>
                          <a:satMod val="135000"/>
                        </a:schemeClr>
                        <a:prstClr val="white"/>
                      </a:duotone>
                    </a:blip>
                    <a:stretch>
                      <a:fillRect/>
                    </a:stretch>
                  </pic:blipFill>
                  <pic:spPr>
                    <a:xfrm>
                      <a:off x="0" y="0"/>
                      <a:ext cx="333375" cy="333375"/>
                    </a:xfrm>
                    <a:prstGeom prst="rect">
                      <a:avLst/>
                    </a:prstGeom>
                  </pic:spPr>
                </pic:pic>
              </a:graphicData>
            </a:graphic>
            <wp14:sizeRelV relativeFrom="margin">
              <wp14:pctHeight>0</wp14:pctHeight>
            </wp14:sizeRelV>
          </wp:anchor>
        </w:drawing>
      </w:r>
      <w:r w:rsidRPr="00107CDF">
        <w:rPr>
          <w:rFonts w:asciiTheme="minorHAnsi" w:hAnsiTheme="minorHAnsi"/>
          <w:b/>
          <w:i/>
          <w:color w:val="FFC000" w:themeColor="accent4"/>
          <w:sz w:val="22"/>
        </w:rPr>
        <w:t xml:space="preserve">Support for this entry point </w:t>
      </w:r>
      <w:r w:rsidR="00A926D7" w:rsidRPr="00107CDF">
        <w:rPr>
          <w:rFonts w:asciiTheme="minorHAnsi" w:hAnsiTheme="minorHAnsi"/>
          <w:b/>
          <w:i/>
          <w:color w:val="FFC000" w:themeColor="accent4"/>
          <w:sz w:val="22"/>
        </w:rPr>
        <w:t>will provide incentives for the active engagement of civil society stakeholders.</w:t>
      </w:r>
    </w:p>
    <w:p w14:paraId="551BCAEC" w14:textId="2644B18D" w:rsidR="004212F0" w:rsidRDefault="004212F0" w:rsidP="004212F0">
      <w:pPr>
        <w:pStyle w:val="ListParagraph"/>
        <w:ind w:left="360"/>
        <w:jc w:val="both"/>
        <w:rPr>
          <w:rFonts w:asciiTheme="minorHAnsi" w:hAnsiTheme="minorHAnsi"/>
          <w:i/>
          <w:sz w:val="22"/>
        </w:rPr>
      </w:pPr>
    </w:p>
    <w:p w14:paraId="345C44B1" w14:textId="51DACC13" w:rsidR="004212F0" w:rsidRDefault="004212F0" w:rsidP="004212F0">
      <w:pPr>
        <w:pStyle w:val="ListParagraph"/>
        <w:numPr>
          <w:ilvl w:val="0"/>
          <w:numId w:val="12"/>
        </w:numPr>
        <w:jc w:val="both"/>
        <w:rPr>
          <w:rFonts w:asciiTheme="minorHAnsi" w:hAnsiTheme="minorHAnsi"/>
          <w:i/>
          <w:sz w:val="22"/>
        </w:rPr>
      </w:pPr>
      <w:r>
        <w:rPr>
          <w:rFonts w:asciiTheme="minorHAnsi" w:hAnsiTheme="minorHAnsi"/>
          <w:b/>
          <w:sz w:val="22"/>
        </w:rPr>
        <w:t>Private sector</w:t>
      </w:r>
      <w:r w:rsidRPr="00C26FE1">
        <w:rPr>
          <w:rFonts w:asciiTheme="minorHAnsi" w:hAnsiTheme="minorHAnsi"/>
          <w:b/>
          <w:sz w:val="22"/>
        </w:rPr>
        <w:t>:</w:t>
      </w:r>
      <w:r w:rsidR="00671317">
        <w:rPr>
          <w:rFonts w:asciiTheme="minorHAnsi" w:hAnsiTheme="minorHAnsi"/>
          <w:b/>
          <w:sz w:val="22"/>
        </w:rPr>
        <w:t xml:space="preserve"> </w:t>
      </w:r>
      <w:r w:rsidR="00A926D7">
        <w:rPr>
          <w:rFonts w:asciiTheme="minorHAnsi" w:hAnsiTheme="minorHAnsi"/>
          <w:sz w:val="22"/>
        </w:rPr>
        <w:t>t</w:t>
      </w:r>
      <w:r w:rsidR="00671317" w:rsidRPr="00A926D7">
        <w:rPr>
          <w:rFonts w:asciiTheme="minorHAnsi" w:hAnsiTheme="minorHAnsi"/>
          <w:sz w:val="22"/>
        </w:rPr>
        <w:t xml:space="preserve">he private sector is an important actor </w:t>
      </w:r>
      <w:r w:rsidR="006A5CDA">
        <w:rPr>
          <w:rFonts w:asciiTheme="minorHAnsi" w:hAnsiTheme="minorHAnsi"/>
          <w:sz w:val="22"/>
        </w:rPr>
        <w:t xml:space="preserve">given its own development activities can </w:t>
      </w:r>
      <w:r w:rsidR="00671317" w:rsidRPr="00A926D7">
        <w:rPr>
          <w:rFonts w:asciiTheme="minorHAnsi" w:hAnsiTheme="minorHAnsi"/>
          <w:sz w:val="22"/>
        </w:rPr>
        <w:t xml:space="preserve">reduce or increase </w:t>
      </w:r>
      <w:r w:rsidR="006A5CDA">
        <w:rPr>
          <w:rFonts w:asciiTheme="minorHAnsi" w:hAnsiTheme="minorHAnsi"/>
          <w:sz w:val="22"/>
        </w:rPr>
        <w:t xml:space="preserve">potential disaster and climate change </w:t>
      </w:r>
      <w:r w:rsidR="00671317" w:rsidRPr="00A926D7">
        <w:rPr>
          <w:rFonts w:asciiTheme="minorHAnsi" w:hAnsiTheme="minorHAnsi"/>
          <w:sz w:val="22"/>
        </w:rPr>
        <w:t>risk</w:t>
      </w:r>
      <w:r w:rsidR="006A5CDA">
        <w:rPr>
          <w:rFonts w:asciiTheme="minorHAnsi" w:hAnsiTheme="minorHAnsi"/>
          <w:sz w:val="22"/>
        </w:rPr>
        <w:t>s</w:t>
      </w:r>
      <w:r w:rsidR="00671317" w:rsidRPr="00A926D7">
        <w:rPr>
          <w:rFonts w:asciiTheme="minorHAnsi" w:hAnsiTheme="minorHAnsi"/>
          <w:sz w:val="22"/>
        </w:rPr>
        <w:t xml:space="preserve">. The </w:t>
      </w:r>
      <w:r w:rsidR="006A5CDA">
        <w:rPr>
          <w:rFonts w:asciiTheme="minorHAnsi" w:hAnsiTheme="minorHAnsi"/>
          <w:sz w:val="22"/>
        </w:rPr>
        <w:t xml:space="preserve">contribution </w:t>
      </w:r>
      <w:r w:rsidR="00671317" w:rsidRPr="00A926D7">
        <w:rPr>
          <w:rFonts w:asciiTheme="minorHAnsi" w:hAnsiTheme="minorHAnsi"/>
          <w:sz w:val="22"/>
        </w:rPr>
        <w:t xml:space="preserve">of the private sector to </w:t>
      </w:r>
      <w:r w:rsidR="006A5CDA">
        <w:rPr>
          <w:rFonts w:asciiTheme="minorHAnsi" w:hAnsiTheme="minorHAnsi"/>
          <w:sz w:val="22"/>
        </w:rPr>
        <w:t>risk informed and resilient development</w:t>
      </w:r>
      <w:r w:rsidR="00671317" w:rsidRPr="00A926D7">
        <w:rPr>
          <w:rFonts w:asciiTheme="minorHAnsi" w:hAnsiTheme="minorHAnsi"/>
          <w:sz w:val="22"/>
        </w:rPr>
        <w:t xml:space="preserve"> is not just a matter of co</w:t>
      </w:r>
      <w:r w:rsidR="00C80A59">
        <w:rPr>
          <w:rFonts w:asciiTheme="minorHAnsi" w:hAnsiTheme="minorHAnsi"/>
          <w:sz w:val="22"/>
        </w:rPr>
        <w:t>r</w:t>
      </w:r>
      <w:r w:rsidR="00671317" w:rsidRPr="00A926D7">
        <w:rPr>
          <w:rFonts w:asciiTheme="minorHAnsi" w:hAnsiTheme="minorHAnsi"/>
          <w:sz w:val="22"/>
        </w:rPr>
        <w:t>p</w:t>
      </w:r>
      <w:r w:rsidR="00C80A59">
        <w:rPr>
          <w:rFonts w:asciiTheme="minorHAnsi" w:hAnsiTheme="minorHAnsi"/>
          <w:sz w:val="22"/>
        </w:rPr>
        <w:t>o</w:t>
      </w:r>
      <w:r w:rsidR="00671317" w:rsidRPr="00A926D7">
        <w:rPr>
          <w:rFonts w:asciiTheme="minorHAnsi" w:hAnsiTheme="minorHAnsi"/>
          <w:sz w:val="22"/>
        </w:rPr>
        <w:t>rate social responsibility</w:t>
      </w:r>
      <w:r w:rsidR="006A5CDA">
        <w:rPr>
          <w:rFonts w:asciiTheme="minorHAnsi" w:hAnsiTheme="minorHAnsi"/>
          <w:sz w:val="22"/>
        </w:rPr>
        <w:t>,</w:t>
      </w:r>
      <w:r w:rsidR="00671317" w:rsidRPr="00A926D7">
        <w:rPr>
          <w:rFonts w:asciiTheme="minorHAnsi" w:hAnsiTheme="minorHAnsi"/>
          <w:sz w:val="22"/>
        </w:rPr>
        <w:t xml:space="preserve"> but increasingly a matter of cost-benefit analysis</w:t>
      </w:r>
      <w:r w:rsidR="006A5CDA">
        <w:rPr>
          <w:rFonts w:asciiTheme="minorHAnsi" w:hAnsiTheme="minorHAnsi"/>
          <w:sz w:val="22"/>
        </w:rPr>
        <w:t xml:space="preserve"> (i.e. avoiding damage and losses) </w:t>
      </w:r>
      <w:r w:rsidR="00A926D7">
        <w:rPr>
          <w:rFonts w:asciiTheme="minorHAnsi" w:hAnsiTheme="minorHAnsi"/>
          <w:sz w:val="22"/>
        </w:rPr>
        <w:t xml:space="preserve">or a matter of compliance, </w:t>
      </w:r>
      <w:r w:rsidR="00C80A59">
        <w:rPr>
          <w:rFonts w:asciiTheme="minorHAnsi" w:hAnsiTheme="minorHAnsi"/>
          <w:sz w:val="22"/>
        </w:rPr>
        <w:t>given that</w:t>
      </w:r>
      <w:r w:rsidR="00A926D7">
        <w:rPr>
          <w:rFonts w:asciiTheme="minorHAnsi" w:hAnsiTheme="minorHAnsi"/>
          <w:sz w:val="22"/>
        </w:rPr>
        <w:t xml:space="preserve"> increasingly consent processes </w:t>
      </w:r>
      <w:r w:rsidR="006A5CDA">
        <w:rPr>
          <w:rFonts w:asciiTheme="minorHAnsi" w:hAnsiTheme="minorHAnsi"/>
          <w:sz w:val="22"/>
        </w:rPr>
        <w:t xml:space="preserve">(i.e. Environmental Impact Assessments) </w:t>
      </w:r>
      <w:r w:rsidR="00A926D7">
        <w:rPr>
          <w:rFonts w:asciiTheme="minorHAnsi" w:hAnsiTheme="minorHAnsi"/>
          <w:sz w:val="22"/>
        </w:rPr>
        <w:t>are incorporating disaster and climate change risk.  Further, p</w:t>
      </w:r>
      <w:r w:rsidR="00671317" w:rsidRPr="00A926D7">
        <w:rPr>
          <w:rFonts w:asciiTheme="minorHAnsi" w:hAnsiTheme="minorHAnsi"/>
          <w:sz w:val="22"/>
        </w:rPr>
        <w:t>ublic private partnership can provide opportunities to combine resources and expertise to act jointly to reduce risk and potential losses.</w:t>
      </w:r>
    </w:p>
    <w:p w14:paraId="050D0ACB" w14:textId="77777777" w:rsidR="004212F0" w:rsidRPr="004212F0" w:rsidRDefault="004212F0" w:rsidP="004212F0">
      <w:pPr>
        <w:pStyle w:val="ListParagraph"/>
        <w:ind w:left="360"/>
        <w:jc w:val="both"/>
        <w:rPr>
          <w:rFonts w:asciiTheme="minorHAnsi" w:hAnsiTheme="minorHAnsi"/>
          <w:b/>
          <w:sz w:val="22"/>
        </w:rPr>
      </w:pPr>
    </w:p>
    <w:p w14:paraId="6063B827" w14:textId="3A7F9D61" w:rsidR="004212F0" w:rsidRPr="005C7160" w:rsidRDefault="004212F0" w:rsidP="00A926D7">
      <w:pPr>
        <w:pStyle w:val="ListParagraph"/>
        <w:ind w:left="709" w:hanging="349"/>
        <w:jc w:val="both"/>
        <w:rPr>
          <w:rFonts w:asciiTheme="minorHAnsi" w:hAnsiTheme="minorHAnsi"/>
          <w:b/>
          <w:i/>
          <w:color w:val="FFC000" w:themeColor="accent4"/>
          <w:sz w:val="22"/>
        </w:rPr>
      </w:pPr>
      <w:r w:rsidRPr="005C7160">
        <w:rPr>
          <w:b/>
          <w:i/>
          <w:noProof/>
          <w:color w:val="FFC000" w:themeColor="accent4"/>
          <w:lang w:val="en-US"/>
        </w:rPr>
        <w:drawing>
          <wp:anchor distT="0" distB="0" distL="114300" distR="114300" simplePos="0" relativeHeight="251948032" behindDoc="1" locked="0" layoutInCell="1" allowOverlap="1" wp14:anchorId="510D4ADB" wp14:editId="05FDA12F">
            <wp:simplePos x="0" y="0"/>
            <wp:positionH relativeFrom="margin">
              <wp:align>left</wp:align>
            </wp:positionH>
            <wp:positionV relativeFrom="paragraph">
              <wp:posOffset>4445</wp:posOffset>
            </wp:positionV>
            <wp:extent cx="333375" cy="333375"/>
            <wp:effectExtent l="0" t="0" r="9525" b="9525"/>
            <wp:wrapTight wrapText="bothSides">
              <wp:wrapPolygon edited="0">
                <wp:start x="0" y="0"/>
                <wp:lineTo x="0" y="20983"/>
                <wp:lineTo x="20983" y="20983"/>
                <wp:lineTo x="2098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4">
                          <a:shade val="45000"/>
                          <a:satMod val="135000"/>
                        </a:schemeClr>
                        <a:prstClr val="white"/>
                      </a:duotone>
                    </a:blip>
                    <a:stretch>
                      <a:fillRect/>
                    </a:stretch>
                  </pic:blipFill>
                  <pic:spPr>
                    <a:xfrm>
                      <a:off x="0" y="0"/>
                      <a:ext cx="333375" cy="333375"/>
                    </a:xfrm>
                    <a:prstGeom prst="rect">
                      <a:avLst/>
                    </a:prstGeom>
                  </pic:spPr>
                </pic:pic>
              </a:graphicData>
            </a:graphic>
            <wp14:sizeRelV relativeFrom="margin">
              <wp14:pctHeight>0</wp14:pctHeight>
            </wp14:sizeRelV>
          </wp:anchor>
        </w:drawing>
      </w:r>
      <w:r w:rsidRPr="005C7160">
        <w:rPr>
          <w:rFonts w:asciiTheme="minorHAnsi" w:hAnsiTheme="minorHAnsi"/>
          <w:b/>
          <w:i/>
          <w:color w:val="FFC000" w:themeColor="accent4"/>
          <w:sz w:val="22"/>
        </w:rPr>
        <w:t xml:space="preserve">Support for this entry point </w:t>
      </w:r>
      <w:r w:rsidR="00A926D7" w:rsidRPr="005C7160">
        <w:rPr>
          <w:rFonts w:asciiTheme="minorHAnsi" w:hAnsiTheme="minorHAnsi"/>
          <w:b/>
          <w:i/>
          <w:color w:val="FFC000" w:themeColor="accent4"/>
          <w:sz w:val="22"/>
        </w:rPr>
        <w:t xml:space="preserve">will provide incentives for the active engagement of civil society in risk informing its own development activities and partnering with the government to bring complementary skills and combine resources for greater effect. </w:t>
      </w:r>
    </w:p>
    <w:p w14:paraId="0719F156" w14:textId="0ABDC089" w:rsidR="00B244D1" w:rsidRPr="004212F0" w:rsidRDefault="00B244D1" w:rsidP="004212F0">
      <w:pPr>
        <w:jc w:val="both"/>
      </w:pPr>
    </w:p>
    <w:p w14:paraId="73FA7721" w14:textId="028EB515" w:rsidR="004212F0" w:rsidRPr="006371F4" w:rsidRDefault="00B244D1" w:rsidP="006371F4">
      <w:pPr>
        <w:jc w:val="both"/>
        <w:rPr>
          <w:lang w:val="en-GB"/>
        </w:rPr>
      </w:pPr>
      <w:r w:rsidRPr="00C26FE1">
        <w:rPr>
          <w:b/>
        </w:rPr>
        <w:t>Partnerships</w:t>
      </w:r>
      <w:r w:rsidR="004212F0">
        <w:rPr>
          <w:b/>
        </w:rPr>
        <w:t xml:space="preserve"> </w:t>
      </w:r>
      <w:r w:rsidR="005C7160">
        <w:rPr>
          <w:b/>
        </w:rPr>
        <w:t>and</w:t>
      </w:r>
      <w:r w:rsidR="004212F0">
        <w:rPr>
          <w:b/>
        </w:rPr>
        <w:t xml:space="preserve"> networks</w:t>
      </w:r>
      <w:r w:rsidRPr="00C26FE1">
        <w:rPr>
          <w:b/>
        </w:rPr>
        <w:t xml:space="preserve">: </w:t>
      </w:r>
      <w:r w:rsidR="008F6D31">
        <w:t>m</w:t>
      </w:r>
      <w:r w:rsidR="00012CE3" w:rsidRPr="004212F0">
        <w:t>anaging risks is a concern of multiple actors working across scales from international to community levels, and often in partnership, to ultimately he</w:t>
      </w:r>
      <w:r w:rsidR="006A5CDA">
        <w:t>l</w:t>
      </w:r>
      <w:r w:rsidR="00012CE3" w:rsidRPr="004212F0">
        <w:t>p individual households, communities, societi</w:t>
      </w:r>
      <w:r w:rsidR="006A5CDA">
        <w:t xml:space="preserve">es reduce risks (Twigg, 2004).  </w:t>
      </w:r>
      <w:r w:rsidR="0014011E">
        <w:t>Strong f</w:t>
      </w:r>
      <w:r w:rsidRPr="00C26FE1">
        <w:t>unctional partnerships</w:t>
      </w:r>
      <w:r w:rsidR="0014011E">
        <w:t xml:space="preserve"> </w:t>
      </w:r>
      <w:r w:rsidR="006A5CDA">
        <w:t>(cov</w:t>
      </w:r>
      <w:r w:rsidR="00C80A59">
        <w:t>ering the adaptation/reduction-</w:t>
      </w:r>
      <w:r w:rsidRPr="00C26FE1">
        <w:t>relief-recovery</w:t>
      </w:r>
      <w:r w:rsidR="006A5CDA">
        <w:t xml:space="preserve"> spectrum)</w:t>
      </w:r>
      <w:r w:rsidRPr="00C26FE1">
        <w:t xml:space="preserve"> are needed, </w:t>
      </w:r>
      <w:r w:rsidR="006A5CDA">
        <w:t>which are</w:t>
      </w:r>
      <w:r w:rsidRPr="00C26FE1">
        <w:t xml:space="preserve"> flexibility to </w:t>
      </w:r>
      <w:r w:rsidR="0014011E">
        <w:t xml:space="preserve">cross institutional boundaries and strengthen </w:t>
      </w:r>
      <w:r w:rsidRPr="00C26FE1">
        <w:t>inter-agency collaboration</w:t>
      </w:r>
      <w:r w:rsidR="0014011E">
        <w:t xml:space="preserve"> and cross-sectoral relationships. </w:t>
      </w:r>
      <w:r w:rsidR="006371F4" w:rsidRPr="00C82D01">
        <w:rPr>
          <w:u w:val="single"/>
          <w:lang w:val="en-GB"/>
        </w:rPr>
        <w:t>Formal partnerships</w:t>
      </w:r>
      <w:r w:rsidR="006371F4" w:rsidRPr="009858E5">
        <w:rPr>
          <w:lang w:val="en-GB"/>
        </w:rPr>
        <w:t xml:space="preserve"> are specific joint arrangements, bringing together the knowledge, skills and resources of different stakeholders. They improve the likelihood of effective policy </w:t>
      </w:r>
      <w:r w:rsidR="006A5CDA">
        <w:rPr>
          <w:lang w:val="en-GB"/>
        </w:rPr>
        <w:t xml:space="preserve">or project </w:t>
      </w:r>
      <w:r w:rsidR="006371F4" w:rsidRPr="009858E5">
        <w:rPr>
          <w:lang w:val="en-GB"/>
        </w:rPr>
        <w:t xml:space="preserve">implementation. </w:t>
      </w:r>
      <w:r w:rsidR="006371F4">
        <w:rPr>
          <w:lang w:val="en-GB"/>
        </w:rPr>
        <w:t xml:space="preserve">Partnerships can be built for example based on synergies (e.g. </w:t>
      </w:r>
      <w:r w:rsidR="006A5CDA">
        <w:rPr>
          <w:lang w:val="en-GB"/>
        </w:rPr>
        <w:t>support for resilient development</w:t>
      </w:r>
      <w:r w:rsidR="006371F4">
        <w:rPr>
          <w:lang w:val="en-GB"/>
        </w:rPr>
        <w:t xml:space="preserve">), to complement </w:t>
      </w:r>
      <w:r w:rsidR="006A5CDA">
        <w:rPr>
          <w:lang w:val="en-GB"/>
        </w:rPr>
        <w:t>each other’s</w:t>
      </w:r>
      <w:r w:rsidR="006371F4">
        <w:rPr>
          <w:lang w:val="en-GB"/>
        </w:rPr>
        <w:t xml:space="preserve"> strength</w:t>
      </w:r>
      <w:r w:rsidR="00C80A59">
        <w:rPr>
          <w:lang w:val="en-GB"/>
        </w:rPr>
        <w:t>s</w:t>
      </w:r>
      <w:r w:rsidR="006371F4">
        <w:rPr>
          <w:lang w:val="en-GB"/>
        </w:rPr>
        <w:t xml:space="preserve"> (e.g. between research organi</w:t>
      </w:r>
      <w:r w:rsidR="006A5CDA">
        <w:rPr>
          <w:lang w:val="en-GB"/>
        </w:rPr>
        <w:t>s</w:t>
      </w:r>
      <w:r w:rsidR="006371F4">
        <w:rPr>
          <w:lang w:val="en-GB"/>
        </w:rPr>
        <w:t>ations) or to increase outreach (e.g. partners</w:t>
      </w:r>
      <w:r w:rsidR="006A5CDA">
        <w:rPr>
          <w:lang w:val="en-GB"/>
        </w:rPr>
        <w:t>hips between government and NGO</w:t>
      </w:r>
      <w:r w:rsidR="006371F4">
        <w:rPr>
          <w:lang w:val="en-GB"/>
        </w:rPr>
        <w:t xml:space="preserve">).  </w:t>
      </w:r>
      <w:r w:rsidR="006A5CDA">
        <w:rPr>
          <w:lang w:val="en-GB"/>
        </w:rPr>
        <w:t xml:space="preserve">Informal partnerships or alliances can be important mechanisms to push DRR onto the agenda or generate momentum for </w:t>
      </w:r>
      <w:r w:rsidR="007A451B">
        <w:rPr>
          <w:lang w:val="en-GB"/>
        </w:rPr>
        <w:t>risk informed development</w:t>
      </w:r>
      <w:r w:rsidR="006371F4">
        <w:rPr>
          <w:lang w:val="en-GB"/>
        </w:rPr>
        <w:t xml:space="preserve"> especially in cases where formal partnerships are not possible or stalled for example due to political context or organi</w:t>
      </w:r>
      <w:r w:rsidR="007A451B">
        <w:rPr>
          <w:lang w:val="en-GB"/>
        </w:rPr>
        <w:t>s</w:t>
      </w:r>
      <w:r w:rsidR="006371F4">
        <w:rPr>
          <w:lang w:val="en-GB"/>
        </w:rPr>
        <w:t xml:space="preserve">ational conflicts. </w:t>
      </w:r>
    </w:p>
    <w:p w14:paraId="5D386046" w14:textId="5985EC85" w:rsidR="004212F0" w:rsidRDefault="004212F0" w:rsidP="004212F0">
      <w:pPr>
        <w:pStyle w:val="ListParagraph"/>
        <w:ind w:left="360"/>
        <w:jc w:val="both"/>
        <w:rPr>
          <w:rFonts w:asciiTheme="minorHAnsi" w:hAnsiTheme="minorHAnsi"/>
          <w:sz w:val="22"/>
        </w:rPr>
      </w:pPr>
      <w:r w:rsidRPr="006B53DD">
        <w:rPr>
          <w:i/>
          <w:noProof/>
          <w:color w:val="ED7D31" w:themeColor="accent2"/>
          <w:lang w:val="en-US"/>
        </w:rPr>
        <w:drawing>
          <wp:anchor distT="0" distB="0" distL="114300" distR="114300" simplePos="0" relativeHeight="251943936" behindDoc="1" locked="0" layoutInCell="1" allowOverlap="1" wp14:anchorId="3F7604A8" wp14:editId="4F979A3A">
            <wp:simplePos x="0" y="0"/>
            <wp:positionH relativeFrom="margin">
              <wp:posOffset>100425</wp:posOffset>
            </wp:positionH>
            <wp:positionV relativeFrom="paragraph">
              <wp:posOffset>200454</wp:posOffset>
            </wp:positionV>
            <wp:extent cx="333375" cy="333375"/>
            <wp:effectExtent l="0" t="0" r="9525" b="9525"/>
            <wp:wrapTight wrapText="bothSides">
              <wp:wrapPolygon edited="0">
                <wp:start x="0" y="0"/>
                <wp:lineTo x="0" y="20983"/>
                <wp:lineTo x="20983" y="20983"/>
                <wp:lineTo x="2098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4">
                          <a:shade val="45000"/>
                          <a:satMod val="135000"/>
                        </a:schemeClr>
                        <a:prstClr val="white"/>
                      </a:duotone>
                    </a:blip>
                    <a:stretch>
                      <a:fillRect/>
                    </a:stretch>
                  </pic:blipFill>
                  <pic:spPr>
                    <a:xfrm>
                      <a:off x="0" y="0"/>
                      <a:ext cx="333375" cy="333375"/>
                    </a:xfrm>
                    <a:prstGeom prst="rect">
                      <a:avLst/>
                    </a:prstGeom>
                  </pic:spPr>
                </pic:pic>
              </a:graphicData>
            </a:graphic>
            <wp14:sizeRelV relativeFrom="margin">
              <wp14:pctHeight>0</wp14:pctHeight>
            </wp14:sizeRelV>
          </wp:anchor>
        </w:drawing>
      </w:r>
    </w:p>
    <w:p w14:paraId="0ACD116D" w14:textId="37D95D1A" w:rsidR="004212F0" w:rsidRPr="004212F0" w:rsidRDefault="004212F0" w:rsidP="004212F0">
      <w:pPr>
        <w:pStyle w:val="ListParagraph"/>
        <w:ind w:left="360"/>
        <w:jc w:val="both"/>
        <w:rPr>
          <w:rFonts w:asciiTheme="minorHAnsi" w:hAnsiTheme="minorHAnsi"/>
          <w:i/>
          <w:sz w:val="22"/>
        </w:rPr>
      </w:pPr>
      <w:r w:rsidRPr="004212F0">
        <w:rPr>
          <w:rFonts w:asciiTheme="minorHAnsi" w:hAnsiTheme="minorHAnsi"/>
          <w:i/>
          <w:sz w:val="22"/>
        </w:rPr>
        <w:t xml:space="preserve">Support for this </w:t>
      </w:r>
      <w:r w:rsidR="007A451B">
        <w:rPr>
          <w:rFonts w:asciiTheme="minorHAnsi" w:hAnsiTheme="minorHAnsi"/>
          <w:i/>
          <w:sz w:val="22"/>
        </w:rPr>
        <w:t xml:space="preserve">entry point will build partnerships that combine skills, knowledge and resources of different stakeholders to increase impact and contribution to resilient development. </w:t>
      </w:r>
    </w:p>
    <w:p w14:paraId="094C1F60" w14:textId="0040612A" w:rsidR="00B244D1" w:rsidRDefault="00B244D1" w:rsidP="004212F0">
      <w:pPr>
        <w:pStyle w:val="ListParagraph"/>
        <w:ind w:left="360"/>
        <w:jc w:val="both"/>
        <w:rPr>
          <w:rFonts w:asciiTheme="minorHAnsi" w:hAnsiTheme="minorHAnsi"/>
          <w:sz w:val="22"/>
        </w:rPr>
      </w:pPr>
    </w:p>
    <w:p w14:paraId="558CD2AE" w14:textId="77777777" w:rsidR="00C45FC4" w:rsidRPr="00C45FC4" w:rsidRDefault="00C45FC4" w:rsidP="00C45FC4">
      <w:pPr>
        <w:pStyle w:val="ListParagraph"/>
        <w:rPr>
          <w:rFonts w:asciiTheme="minorHAnsi" w:hAnsiTheme="minorHAnsi"/>
          <w:sz w:val="22"/>
        </w:rPr>
      </w:pPr>
    </w:p>
    <w:p w14:paraId="4C2F81A1" w14:textId="3CB35D3A" w:rsidR="00C45FC4" w:rsidRDefault="00C45FC4" w:rsidP="00C45FC4">
      <w:pPr>
        <w:jc w:val="both"/>
      </w:pPr>
    </w:p>
    <w:p w14:paraId="480C5050" w14:textId="1B71E987" w:rsidR="00C45FC4" w:rsidRDefault="00C45FC4">
      <w:r>
        <w:br w:type="page"/>
      </w:r>
    </w:p>
    <w:p w14:paraId="3C963434" w14:textId="154A6CEC" w:rsidR="00C45FC4" w:rsidRDefault="00FB2B8F" w:rsidP="00D548B7">
      <w:pPr>
        <w:pStyle w:val="Heading1"/>
        <w:rPr>
          <w:lang w:bidi="ar-SA"/>
        </w:rPr>
      </w:pPr>
      <w:bookmarkStart w:id="42" w:name="_Toc451948707"/>
      <w:r>
        <w:rPr>
          <w:lang w:bidi="ar-SA"/>
        </w:rPr>
        <w:t xml:space="preserve">Linking the </w:t>
      </w:r>
      <w:r w:rsidR="00C45FC4">
        <w:rPr>
          <w:lang w:bidi="ar-SA"/>
        </w:rPr>
        <w:t>Components</w:t>
      </w:r>
      <w:bookmarkEnd w:id="42"/>
      <w:r>
        <w:rPr>
          <w:lang w:bidi="ar-SA"/>
        </w:rPr>
        <w:t xml:space="preserve"> to Accelerate the Mainstreaming Process</w:t>
      </w:r>
    </w:p>
    <w:p w14:paraId="20AFD471" w14:textId="289181AF" w:rsidR="00C45FC4" w:rsidRDefault="00C45FC4" w:rsidP="00C45FC4">
      <w:pPr>
        <w:rPr>
          <w:lang w:bidi="ar-SA"/>
        </w:rPr>
      </w:pPr>
    </w:p>
    <w:p w14:paraId="00E41652" w14:textId="64A2C782" w:rsidR="00C45FC4" w:rsidRDefault="00C45FC4" w:rsidP="00C45FC4">
      <w:pPr>
        <w:jc w:val="both"/>
        <w:rPr>
          <w:rFonts w:ascii="Calibri" w:hAnsi="Calibri"/>
        </w:rPr>
      </w:pPr>
      <w:r w:rsidRPr="00C45FC4">
        <w:rPr>
          <w:b/>
          <w:lang w:bidi="ar-SA"/>
        </w:rPr>
        <w:t>Although the previous section separates the mainstreaming components, the</w:t>
      </w:r>
      <w:r w:rsidR="007A451B">
        <w:rPr>
          <w:b/>
          <w:lang w:bidi="ar-SA"/>
        </w:rPr>
        <w:t>se governance</w:t>
      </w:r>
      <w:r w:rsidRPr="00C45FC4">
        <w:rPr>
          <w:b/>
          <w:lang w:bidi="ar-SA"/>
        </w:rPr>
        <w:t xml:space="preserve"> components are </w:t>
      </w:r>
      <w:r w:rsidRPr="00C45FC4">
        <w:rPr>
          <w:b/>
        </w:rPr>
        <w:t xml:space="preserve">inter-related and their interdependence helps gain traction </w:t>
      </w:r>
      <w:r w:rsidR="007A451B">
        <w:rPr>
          <w:b/>
        </w:rPr>
        <w:t>and increase</w:t>
      </w:r>
      <w:r w:rsidRPr="00C45FC4">
        <w:rPr>
          <w:b/>
        </w:rPr>
        <w:t xml:space="preserve"> progress.</w:t>
      </w:r>
      <w:r w:rsidR="007A451B">
        <w:t xml:space="preserve">  R</w:t>
      </w:r>
      <w:r w:rsidRPr="004A1B64">
        <w:t xml:space="preserve">isk governance strengthening is a </w:t>
      </w:r>
      <w:r w:rsidRPr="004A1B64">
        <w:rPr>
          <w:rFonts w:ascii="Calibri" w:hAnsi="Calibri"/>
          <w:lang w:val="en"/>
        </w:rPr>
        <w:t>complex web of context specific processes and interactions of various aspects, institutions and actors</w:t>
      </w:r>
      <w:r w:rsidR="007A451B">
        <w:rPr>
          <w:rFonts w:ascii="Calibri" w:hAnsi="Calibri"/>
          <w:lang w:val="en"/>
        </w:rPr>
        <w:t xml:space="preserve"> and therefore t</w:t>
      </w:r>
      <w:r w:rsidRPr="00C065C4">
        <w:rPr>
          <w:rFonts w:ascii="Calibri" w:hAnsi="Calibri"/>
        </w:rPr>
        <w:t xml:space="preserve">he entry-points work in a dynamic way with one </w:t>
      </w:r>
      <w:r>
        <w:rPr>
          <w:rFonts w:ascii="Calibri" w:hAnsi="Calibri"/>
        </w:rPr>
        <w:t xml:space="preserve">success </w:t>
      </w:r>
      <w:r w:rsidRPr="00C065C4">
        <w:rPr>
          <w:rFonts w:ascii="Calibri" w:hAnsi="Calibri"/>
        </w:rPr>
        <w:t xml:space="preserve">leading to another.  </w:t>
      </w:r>
    </w:p>
    <w:p w14:paraId="24DA4B4B" w14:textId="0D5C0D17" w:rsidR="003D6298" w:rsidRPr="00D548B7" w:rsidRDefault="00C45FC4" w:rsidP="00C45FC4">
      <w:pPr>
        <w:jc w:val="both"/>
        <w:rPr>
          <w:rFonts w:ascii="Calibri" w:hAnsi="Calibri"/>
        </w:rPr>
      </w:pPr>
      <w:r>
        <w:rPr>
          <w:rFonts w:ascii="Calibri" w:hAnsi="Calibri"/>
          <w:b/>
        </w:rPr>
        <w:t>This section shares a number o</w:t>
      </w:r>
      <w:r w:rsidR="00717B6C">
        <w:rPr>
          <w:rFonts w:ascii="Calibri" w:hAnsi="Calibri"/>
          <w:b/>
        </w:rPr>
        <w:t xml:space="preserve">f case studies, which show how </w:t>
      </w:r>
      <w:r>
        <w:rPr>
          <w:rFonts w:ascii="Calibri" w:hAnsi="Calibri"/>
          <w:b/>
        </w:rPr>
        <w:t>supporting multiple components can increase mainstreaming success.</w:t>
      </w:r>
      <w:r w:rsidR="007A451B">
        <w:rPr>
          <w:rFonts w:ascii="Calibri" w:hAnsi="Calibri"/>
          <w:b/>
        </w:rPr>
        <w:t xml:space="preserve"> </w:t>
      </w:r>
      <w:r w:rsidR="007A451B">
        <w:rPr>
          <w:rFonts w:ascii="Calibri" w:hAnsi="Calibri"/>
        </w:rPr>
        <w:t xml:space="preserve">The case studies demonstrate application of the mainstreaming tool to national, subnational and sector context; and the importance of simultaneously strengthening multiple entry points for maximum effect. </w:t>
      </w:r>
    </w:p>
    <w:p w14:paraId="3042D67E" w14:textId="5B83BF0E" w:rsidR="00C45FC4" w:rsidRDefault="00C45FC4" w:rsidP="003C2019">
      <w:pPr>
        <w:pStyle w:val="Heading2"/>
        <w:rPr>
          <w:lang w:bidi="ar-SA"/>
        </w:rPr>
      </w:pPr>
      <w:bookmarkStart w:id="43" w:name="_Toc451948708"/>
      <w:r>
        <w:rPr>
          <w:lang w:bidi="ar-SA"/>
        </w:rPr>
        <w:t xml:space="preserve">Case study 1:  </w:t>
      </w:r>
      <w:r w:rsidR="007B4C70">
        <w:rPr>
          <w:lang w:bidi="ar-SA"/>
        </w:rPr>
        <w:t>National Level Mainstreaming in the Solomon Islands</w:t>
      </w:r>
      <w:bookmarkEnd w:id="43"/>
      <w:r w:rsidR="00FB2B8F">
        <w:rPr>
          <w:lang w:bidi="ar-SA"/>
        </w:rPr>
        <w:t xml:space="preserve"> [format 1]</w:t>
      </w:r>
    </w:p>
    <w:p w14:paraId="41431D28" w14:textId="4BF38AD6" w:rsidR="00521E6C" w:rsidRDefault="00E935DD" w:rsidP="00E935DD">
      <w:pPr>
        <w:spacing w:after="0"/>
        <w:jc w:val="both"/>
        <w:rPr>
          <w:rFonts w:ascii="Calibri" w:hAnsi="Calibri"/>
          <w:lang w:val="en-GB"/>
        </w:rPr>
      </w:pPr>
      <w:r>
        <w:rPr>
          <w:rFonts w:ascii="Calibri" w:hAnsi="Calibri"/>
          <w:lang w:val="en-GB"/>
        </w:rPr>
        <w:t xml:space="preserve">In early 2013, </w:t>
      </w:r>
      <w:r w:rsidRPr="00295F5A">
        <w:rPr>
          <w:rFonts w:ascii="Calibri" w:hAnsi="Calibri"/>
          <w:lang w:val="en-GB"/>
        </w:rPr>
        <w:t xml:space="preserve">there was only limited understanding of the development/risk nexus and </w:t>
      </w:r>
      <w:r w:rsidR="007A451B">
        <w:rPr>
          <w:rFonts w:ascii="Calibri" w:hAnsi="Calibri"/>
          <w:lang w:val="en-GB"/>
        </w:rPr>
        <w:t xml:space="preserve">the </w:t>
      </w:r>
      <w:r w:rsidRPr="00295F5A">
        <w:rPr>
          <w:rFonts w:ascii="Calibri" w:hAnsi="Calibri"/>
          <w:lang w:val="en-GB"/>
        </w:rPr>
        <w:t xml:space="preserve">need for mainstreaming of climate and disaster risk.  However, </w:t>
      </w:r>
      <w:r w:rsidR="007A451B">
        <w:rPr>
          <w:rFonts w:ascii="Calibri" w:hAnsi="Calibri"/>
          <w:lang w:val="en-GB"/>
        </w:rPr>
        <w:t>joint</w:t>
      </w:r>
      <w:r w:rsidRPr="00295F5A">
        <w:rPr>
          <w:rFonts w:ascii="Calibri" w:hAnsi="Calibri"/>
          <w:lang w:val="en-GB"/>
        </w:rPr>
        <w:t xml:space="preserve"> </w:t>
      </w:r>
      <w:r w:rsidRPr="00295F5A">
        <w:rPr>
          <w:rFonts w:ascii="Calibri" w:hAnsi="Calibri"/>
          <w:b/>
          <w:lang w:val="en-GB"/>
        </w:rPr>
        <w:t>leadership</w:t>
      </w:r>
      <w:r w:rsidRPr="00295F5A">
        <w:rPr>
          <w:rFonts w:ascii="Calibri" w:hAnsi="Calibri"/>
          <w:lang w:val="en-GB"/>
        </w:rPr>
        <w:t xml:space="preserve"> from the P</w:t>
      </w:r>
      <w:r>
        <w:rPr>
          <w:rFonts w:ascii="Calibri" w:hAnsi="Calibri"/>
          <w:lang w:val="en-GB"/>
        </w:rPr>
        <w:t>ermanent Secretar</w:t>
      </w:r>
      <w:r w:rsidR="00EA49FA">
        <w:rPr>
          <w:rFonts w:ascii="Calibri" w:hAnsi="Calibri"/>
          <w:lang w:val="en-GB"/>
        </w:rPr>
        <w:t>ies</w:t>
      </w:r>
      <w:r>
        <w:rPr>
          <w:rFonts w:ascii="Calibri" w:hAnsi="Calibri"/>
          <w:lang w:val="en-GB"/>
        </w:rPr>
        <w:t xml:space="preserve"> </w:t>
      </w:r>
      <w:r w:rsidR="007A451B">
        <w:rPr>
          <w:rFonts w:ascii="Calibri" w:hAnsi="Calibri"/>
          <w:lang w:val="en-GB"/>
        </w:rPr>
        <w:t xml:space="preserve">of </w:t>
      </w:r>
      <w:r>
        <w:rPr>
          <w:rFonts w:ascii="Calibri" w:hAnsi="Calibri"/>
          <w:lang w:val="en-GB"/>
        </w:rPr>
        <w:t>the Ministry of Environment, Climate Change</w:t>
      </w:r>
      <w:r w:rsidR="007A451B">
        <w:rPr>
          <w:rFonts w:ascii="Calibri" w:hAnsi="Calibri"/>
          <w:lang w:val="en-GB"/>
        </w:rPr>
        <w:t>, Disaster Management and Meteorology (MECDM) and</w:t>
      </w:r>
      <w:r>
        <w:rPr>
          <w:rFonts w:ascii="Calibri" w:hAnsi="Calibri"/>
          <w:lang w:val="en-GB"/>
        </w:rPr>
        <w:t xml:space="preserve"> </w:t>
      </w:r>
      <w:r w:rsidRPr="00295F5A">
        <w:rPr>
          <w:rFonts w:ascii="Calibri" w:hAnsi="Calibri"/>
          <w:lang w:val="en-GB"/>
        </w:rPr>
        <w:t>the Ministry of Development Plannin</w:t>
      </w:r>
      <w:r w:rsidR="00521E6C">
        <w:rPr>
          <w:rFonts w:ascii="Calibri" w:hAnsi="Calibri"/>
          <w:lang w:val="en-GB"/>
        </w:rPr>
        <w:t>g and Aid Coordination (MDPAC)</w:t>
      </w:r>
      <w:r w:rsidR="00FB2B8F">
        <w:rPr>
          <w:rFonts w:ascii="Calibri" w:hAnsi="Calibri"/>
          <w:lang w:val="en-GB"/>
        </w:rPr>
        <w:t xml:space="preserve"> </w:t>
      </w:r>
      <w:r w:rsidR="00FB2B8F" w:rsidRPr="00FB2B8F">
        <w:rPr>
          <w:rFonts w:ascii="Calibri" w:hAnsi="Calibri"/>
          <w:b/>
          <w:color w:val="5B9BD5" w:themeColor="accent1"/>
          <w:lang w:val="en-GB"/>
        </w:rPr>
        <w:t>(policy component)</w:t>
      </w:r>
      <w:r w:rsidR="00521E6C" w:rsidRPr="00FB2B8F">
        <w:rPr>
          <w:rFonts w:ascii="Calibri" w:hAnsi="Calibri"/>
          <w:b/>
          <w:color w:val="5B9BD5" w:themeColor="accent1"/>
          <w:lang w:val="en-GB"/>
        </w:rPr>
        <w:t>,</w:t>
      </w:r>
      <w:r w:rsidR="00521E6C" w:rsidRPr="00FB2B8F">
        <w:rPr>
          <w:rFonts w:ascii="Calibri" w:hAnsi="Calibri"/>
          <w:color w:val="5B9BD5" w:themeColor="accent1"/>
          <w:lang w:val="en-GB"/>
        </w:rPr>
        <w:t xml:space="preserve"> </w:t>
      </w:r>
      <w:r w:rsidRPr="00295F5A">
        <w:rPr>
          <w:rFonts w:ascii="Calibri" w:hAnsi="Calibri"/>
          <w:lang w:val="en-GB"/>
        </w:rPr>
        <w:t xml:space="preserve">helped raise </w:t>
      </w:r>
      <w:r w:rsidRPr="00295F5A">
        <w:rPr>
          <w:rFonts w:ascii="Calibri" w:hAnsi="Calibri"/>
          <w:b/>
          <w:lang w:val="en-GB"/>
        </w:rPr>
        <w:t>awareness</w:t>
      </w:r>
      <w:r w:rsidRPr="00295F5A">
        <w:rPr>
          <w:rFonts w:ascii="Calibri" w:hAnsi="Calibri"/>
          <w:lang w:val="en-GB"/>
        </w:rPr>
        <w:t xml:space="preserve"> </w:t>
      </w:r>
      <w:r w:rsidR="007A451B">
        <w:rPr>
          <w:rFonts w:ascii="Calibri" w:hAnsi="Calibri"/>
          <w:lang w:val="en-GB"/>
        </w:rPr>
        <w:t>o</w:t>
      </w:r>
      <w:r w:rsidR="00EA49FA">
        <w:rPr>
          <w:rFonts w:ascii="Calibri" w:hAnsi="Calibri"/>
          <w:lang w:val="en-GB"/>
        </w:rPr>
        <w:t>f</w:t>
      </w:r>
      <w:r w:rsidR="007A451B">
        <w:rPr>
          <w:rFonts w:ascii="Calibri" w:hAnsi="Calibri"/>
          <w:lang w:val="en-GB"/>
        </w:rPr>
        <w:t xml:space="preserve"> the relevance of climate and disaster risk for development actors</w:t>
      </w:r>
      <w:r w:rsidR="00521E6C">
        <w:rPr>
          <w:rFonts w:ascii="Calibri" w:hAnsi="Calibri"/>
          <w:lang w:val="en-GB"/>
        </w:rPr>
        <w:t>;</w:t>
      </w:r>
      <w:r w:rsidRPr="00295F5A">
        <w:rPr>
          <w:rFonts w:ascii="Calibri" w:hAnsi="Calibri"/>
          <w:lang w:val="en-GB"/>
        </w:rPr>
        <w:t xml:space="preserve"> </w:t>
      </w:r>
      <w:r>
        <w:rPr>
          <w:rFonts w:ascii="Calibri" w:hAnsi="Calibri"/>
          <w:lang w:val="en-GB"/>
        </w:rPr>
        <w:t xml:space="preserve">and </w:t>
      </w:r>
      <w:r w:rsidR="00521E6C">
        <w:rPr>
          <w:rFonts w:ascii="Calibri" w:hAnsi="Calibri"/>
          <w:lang w:val="en-GB"/>
        </w:rPr>
        <w:t>championed</w:t>
      </w:r>
      <w:r>
        <w:rPr>
          <w:rFonts w:ascii="Calibri" w:hAnsi="Calibri"/>
          <w:lang w:val="en-GB"/>
        </w:rPr>
        <w:t xml:space="preserve"> risk informed development </w:t>
      </w:r>
      <w:r w:rsidRPr="00C370CC">
        <w:rPr>
          <w:rFonts w:ascii="Calibri" w:hAnsi="Calibri"/>
          <w:b/>
          <w:color w:val="385623" w:themeColor="accent6" w:themeShade="80"/>
          <w:lang w:val="en-GB"/>
        </w:rPr>
        <w:t>(knowledge component)</w:t>
      </w:r>
      <w:r w:rsidR="00521E6C">
        <w:rPr>
          <w:rFonts w:ascii="Calibri" w:hAnsi="Calibri"/>
          <w:b/>
          <w:color w:val="385623" w:themeColor="accent6" w:themeShade="80"/>
          <w:lang w:val="en-GB"/>
        </w:rPr>
        <w:t xml:space="preserve">.  </w:t>
      </w:r>
      <w:r w:rsidR="00521E6C">
        <w:rPr>
          <w:rFonts w:ascii="Calibri" w:hAnsi="Calibri"/>
          <w:lang w:val="en-GB"/>
        </w:rPr>
        <w:t>The senior champions also advocated a</w:t>
      </w:r>
      <w:r w:rsidR="007A451B">
        <w:rPr>
          <w:rFonts w:ascii="Calibri" w:hAnsi="Calibri"/>
          <w:color w:val="000000" w:themeColor="text1"/>
          <w:lang w:val="en-GB"/>
        </w:rPr>
        <w:t xml:space="preserve"> need to develop “in-house” capacity to support mainstreaming from “within” the development agenda</w:t>
      </w:r>
      <w:r w:rsidRPr="00295F5A">
        <w:rPr>
          <w:rFonts w:ascii="Calibri" w:hAnsi="Calibri"/>
          <w:lang w:val="en-GB"/>
        </w:rPr>
        <w:t xml:space="preserve"> </w:t>
      </w:r>
      <w:r w:rsidR="00767717" w:rsidRPr="00FB2B8F">
        <w:rPr>
          <w:rFonts w:ascii="Calibri" w:hAnsi="Calibri"/>
          <w:b/>
          <w:color w:val="5B9BD5" w:themeColor="accent1"/>
          <w:lang w:val="en-GB"/>
        </w:rPr>
        <w:t>(policy component)</w:t>
      </w:r>
      <w:r w:rsidR="00767717">
        <w:rPr>
          <w:rFonts w:ascii="Calibri" w:hAnsi="Calibri"/>
          <w:b/>
          <w:color w:val="5B9BD5" w:themeColor="accent1"/>
          <w:lang w:val="en-GB"/>
        </w:rPr>
        <w:t>.</w:t>
      </w:r>
    </w:p>
    <w:p w14:paraId="513B91BD" w14:textId="77777777" w:rsidR="00521E6C" w:rsidRDefault="00521E6C" w:rsidP="00E935DD">
      <w:pPr>
        <w:spacing w:after="0"/>
        <w:jc w:val="both"/>
        <w:rPr>
          <w:rFonts w:ascii="Calibri" w:hAnsi="Calibri"/>
          <w:lang w:val="en-GB"/>
        </w:rPr>
      </w:pPr>
    </w:p>
    <w:p w14:paraId="6012E4F8" w14:textId="1966F771" w:rsidR="00E935DD" w:rsidRDefault="00E935DD" w:rsidP="00E935DD">
      <w:pPr>
        <w:spacing w:after="0"/>
        <w:jc w:val="both"/>
        <w:rPr>
          <w:rFonts w:ascii="Calibri" w:hAnsi="Calibri"/>
          <w:lang w:val="en-GB"/>
        </w:rPr>
      </w:pPr>
      <w:r w:rsidRPr="00295F5A">
        <w:rPr>
          <w:rFonts w:ascii="Calibri" w:hAnsi="Calibri"/>
          <w:b/>
          <w:lang w:val="en-GB"/>
        </w:rPr>
        <w:t>Capacity development</w:t>
      </w:r>
      <w:r w:rsidRPr="00295F5A">
        <w:rPr>
          <w:rFonts w:ascii="Calibri" w:hAnsi="Calibri"/>
          <w:lang w:val="en-GB"/>
        </w:rPr>
        <w:t xml:space="preserve"> within the Ministry of Development Planning and Aid Coordination (MDPAC) and key sectors (e.g. the Ministries for agriculture and education) through ongoing training and most importantly the creation of new Risk Resilient</w:t>
      </w:r>
      <w:r>
        <w:rPr>
          <w:rFonts w:ascii="Calibri" w:hAnsi="Calibri"/>
          <w:lang w:val="en-GB"/>
        </w:rPr>
        <w:t xml:space="preserve"> Development Director</w:t>
      </w:r>
      <w:r w:rsidRPr="00295F5A">
        <w:rPr>
          <w:rFonts w:ascii="Calibri" w:hAnsi="Calibri"/>
          <w:lang w:val="en-GB"/>
        </w:rPr>
        <w:t xml:space="preserve"> posts</w:t>
      </w:r>
      <w:r w:rsidR="007A451B">
        <w:rPr>
          <w:rFonts w:ascii="Calibri" w:hAnsi="Calibri"/>
          <w:lang w:val="en-GB"/>
        </w:rPr>
        <w:t xml:space="preserve">, provided </w:t>
      </w:r>
      <w:r w:rsidRPr="00295F5A">
        <w:rPr>
          <w:rFonts w:ascii="Calibri" w:hAnsi="Calibri"/>
          <w:lang w:val="en-GB"/>
        </w:rPr>
        <w:t xml:space="preserve">in-house </w:t>
      </w:r>
      <w:r w:rsidRPr="00767717">
        <w:rPr>
          <w:rFonts w:ascii="Calibri" w:hAnsi="Calibri"/>
          <w:lang w:val="en-GB"/>
        </w:rPr>
        <w:t xml:space="preserve">capacity </w:t>
      </w:r>
      <w:r w:rsidR="007A451B" w:rsidRPr="00767717">
        <w:rPr>
          <w:rFonts w:ascii="Calibri" w:hAnsi="Calibri"/>
          <w:lang w:val="en-GB"/>
        </w:rPr>
        <w:t xml:space="preserve">and focal points </w:t>
      </w:r>
      <w:r w:rsidRPr="00767717">
        <w:rPr>
          <w:rFonts w:ascii="Calibri" w:hAnsi="Calibri"/>
          <w:lang w:val="en-GB"/>
        </w:rPr>
        <w:t xml:space="preserve">to lead mainstreaming </w:t>
      </w:r>
      <w:r w:rsidRPr="00767717">
        <w:rPr>
          <w:rFonts w:ascii="Calibri" w:hAnsi="Calibri"/>
          <w:b/>
          <w:color w:val="C00000"/>
          <w:lang w:val="en-GB"/>
        </w:rPr>
        <w:t>(organisation component).</w:t>
      </w:r>
      <w:r w:rsidRPr="00767717">
        <w:rPr>
          <w:rFonts w:ascii="Calibri" w:hAnsi="Calibri"/>
          <w:color w:val="C00000"/>
          <w:lang w:val="en-GB"/>
        </w:rPr>
        <w:t xml:space="preserve"> </w:t>
      </w:r>
      <w:r w:rsidRPr="00767717">
        <w:rPr>
          <w:rFonts w:ascii="Calibri" w:hAnsi="Calibri"/>
          <w:lang w:val="en-GB"/>
        </w:rPr>
        <w:t>This has supported the mainstreaming of risk into the National Development Strategy (</w:t>
      </w:r>
      <w:r w:rsidR="00827CC0" w:rsidRPr="00767717">
        <w:rPr>
          <w:rFonts w:ascii="Calibri" w:hAnsi="Calibri"/>
          <w:lang w:val="en-GB"/>
        </w:rPr>
        <w:t>2016-30</w:t>
      </w:r>
      <w:r w:rsidRPr="00767717">
        <w:rPr>
          <w:rFonts w:ascii="Calibri" w:hAnsi="Calibri"/>
          <w:lang w:val="en-GB"/>
        </w:rPr>
        <w:t>)</w:t>
      </w:r>
      <w:r w:rsidR="00827CC0" w:rsidRPr="00767717">
        <w:rPr>
          <w:rFonts w:ascii="Calibri" w:hAnsi="Calibri"/>
          <w:lang w:val="en-GB"/>
        </w:rPr>
        <w:t>, which now includes Objective 4 “</w:t>
      </w:r>
      <w:r w:rsidR="00827CC0" w:rsidRPr="00767717">
        <w:rPr>
          <w:rFonts w:ascii="Calibri" w:hAnsi="Calibri"/>
          <w:i/>
          <w:lang w:val="en-GB"/>
        </w:rPr>
        <w:t>resilient and environmentally sustainable development</w:t>
      </w:r>
      <w:r w:rsidR="007A451B" w:rsidRPr="00767717">
        <w:rPr>
          <w:rFonts w:ascii="Calibri" w:hAnsi="Calibri"/>
          <w:lang w:val="en-GB"/>
        </w:rPr>
        <w:t>,</w:t>
      </w:r>
      <w:r w:rsidR="00827CC0" w:rsidRPr="00767717">
        <w:rPr>
          <w:rFonts w:ascii="Calibri" w:hAnsi="Calibri"/>
          <w:lang w:val="en-GB"/>
        </w:rPr>
        <w:t>”</w:t>
      </w:r>
      <w:r w:rsidRPr="00767717">
        <w:rPr>
          <w:rFonts w:ascii="Calibri" w:hAnsi="Calibri"/>
          <w:lang w:val="en-GB"/>
        </w:rPr>
        <w:t xml:space="preserve"> </w:t>
      </w:r>
      <w:r w:rsidR="007A451B" w:rsidRPr="00767717">
        <w:rPr>
          <w:rFonts w:ascii="Calibri" w:hAnsi="Calibri"/>
          <w:lang w:val="en-GB"/>
        </w:rPr>
        <w:t>the national</w:t>
      </w:r>
      <w:r w:rsidRPr="00767717">
        <w:rPr>
          <w:rFonts w:ascii="Calibri" w:hAnsi="Calibri"/>
          <w:lang w:val="en-GB"/>
        </w:rPr>
        <w:t xml:space="preserve"> Medium Term Development Plan </w:t>
      </w:r>
      <w:r w:rsidR="004559FB" w:rsidRPr="00767717">
        <w:rPr>
          <w:rFonts w:ascii="Calibri" w:hAnsi="Calibri"/>
          <w:lang w:val="en-GB"/>
        </w:rPr>
        <w:t>and</w:t>
      </w:r>
      <w:r w:rsidRPr="00767717">
        <w:rPr>
          <w:rFonts w:ascii="Calibri" w:hAnsi="Calibri"/>
          <w:lang w:val="en-GB"/>
        </w:rPr>
        <w:t xml:space="preserve"> sector policies a</w:t>
      </w:r>
      <w:r w:rsidR="007A451B" w:rsidRPr="00767717">
        <w:rPr>
          <w:rFonts w:ascii="Calibri" w:hAnsi="Calibri"/>
          <w:lang w:val="en-GB"/>
        </w:rPr>
        <w:t>nd plans, for example the</w:t>
      </w:r>
      <w:r w:rsidRPr="00767717">
        <w:rPr>
          <w:rFonts w:ascii="Calibri" w:hAnsi="Calibri"/>
          <w:lang w:val="en-GB"/>
        </w:rPr>
        <w:t xml:space="preserve"> Agricultural Sector Policy (2015-19)</w:t>
      </w:r>
      <w:r w:rsidR="007A451B" w:rsidRPr="00767717">
        <w:rPr>
          <w:rFonts w:ascii="Calibri" w:hAnsi="Calibri"/>
          <w:lang w:val="en-GB"/>
        </w:rPr>
        <w:t xml:space="preserve"> and Corporate Plan</w:t>
      </w:r>
      <w:r w:rsidR="004559FB" w:rsidRPr="00767717">
        <w:rPr>
          <w:rFonts w:ascii="Calibri" w:hAnsi="Calibri"/>
          <w:lang w:val="en-GB"/>
        </w:rPr>
        <w:t>,</w:t>
      </w:r>
      <w:r w:rsidR="007A451B" w:rsidRPr="00767717">
        <w:rPr>
          <w:rFonts w:ascii="Calibri" w:hAnsi="Calibri"/>
          <w:lang w:val="en-GB"/>
        </w:rPr>
        <w:t xml:space="preserve"> the</w:t>
      </w:r>
      <w:r w:rsidRPr="00767717">
        <w:rPr>
          <w:rFonts w:ascii="Calibri" w:hAnsi="Calibri"/>
          <w:lang w:val="en-GB"/>
        </w:rPr>
        <w:t xml:space="preserve"> Education Strategic Framework (2016-30)</w:t>
      </w:r>
      <w:r w:rsidR="007A451B" w:rsidRPr="00767717">
        <w:rPr>
          <w:rFonts w:ascii="Calibri" w:hAnsi="Calibri"/>
          <w:lang w:val="en-GB"/>
        </w:rPr>
        <w:t xml:space="preserve"> and the</w:t>
      </w:r>
      <w:r w:rsidRPr="00767717">
        <w:rPr>
          <w:rFonts w:ascii="Calibri" w:hAnsi="Calibri"/>
          <w:lang w:val="en-GB"/>
        </w:rPr>
        <w:t xml:space="preserve"> National Education Action Plan </w:t>
      </w:r>
      <w:r w:rsidR="007A451B" w:rsidRPr="00767717">
        <w:rPr>
          <w:rFonts w:ascii="Calibri" w:hAnsi="Calibri"/>
          <w:lang w:val="en-GB"/>
        </w:rPr>
        <w:t>(</w:t>
      </w:r>
      <w:r w:rsidRPr="00767717">
        <w:rPr>
          <w:rFonts w:ascii="Calibri" w:hAnsi="Calibri"/>
          <w:lang w:val="en-GB"/>
        </w:rPr>
        <w:t>2016</w:t>
      </w:r>
      <w:r>
        <w:rPr>
          <w:rFonts w:ascii="Calibri" w:hAnsi="Calibri"/>
          <w:lang w:val="en-GB"/>
        </w:rPr>
        <w:t xml:space="preserve">-20) </w:t>
      </w:r>
      <w:r w:rsidRPr="00C370CC">
        <w:rPr>
          <w:rFonts w:ascii="Calibri" w:hAnsi="Calibri"/>
          <w:b/>
          <w:color w:val="0070C0"/>
          <w:lang w:val="en-GB"/>
        </w:rPr>
        <w:t>(policy component)</w:t>
      </w:r>
      <w:r w:rsidRPr="00C370CC">
        <w:rPr>
          <w:rFonts w:ascii="Calibri" w:hAnsi="Calibri"/>
          <w:b/>
          <w:lang w:val="en-GB"/>
        </w:rPr>
        <w:t>.</w:t>
      </w:r>
      <w:r w:rsidR="00B507C2" w:rsidRPr="00C370CC">
        <w:rPr>
          <w:rFonts w:asciiTheme="majorHAnsi" w:hAnsiTheme="majorHAnsi"/>
          <w:b/>
          <w:sz w:val="20"/>
          <w:szCs w:val="20"/>
        </w:rPr>
        <w:t xml:space="preserve"> </w:t>
      </w:r>
    </w:p>
    <w:p w14:paraId="4FE6DA08" w14:textId="77777777" w:rsidR="00E935DD" w:rsidRDefault="00E935DD" w:rsidP="00E935DD">
      <w:pPr>
        <w:spacing w:after="0"/>
        <w:jc w:val="both"/>
        <w:rPr>
          <w:rFonts w:ascii="Calibri" w:hAnsi="Calibri"/>
          <w:lang w:val="en-GB"/>
        </w:rPr>
      </w:pPr>
    </w:p>
    <w:p w14:paraId="664739DF" w14:textId="0D0117AB" w:rsidR="00E935DD" w:rsidRDefault="004559FB" w:rsidP="00476099">
      <w:pPr>
        <w:ind w:right="118"/>
        <w:jc w:val="both"/>
        <w:rPr>
          <w:rFonts w:ascii="Calibri" w:hAnsi="Calibri"/>
          <w:lang w:val="en-GB"/>
        </w:rPr>
      </w:pPr>
      <w:r>
        <w:rPr>
          <w:rFonts w:ascii="Calibri" w:hAnsi="Calibri"/>
          <w:lang w:val="en-GB"/>
        </w:rPr>
        <w:t>Strengthening risk l</w:t>
      </w:r>
      <w:r w:rsidR="003C2019">
        <w:rPr>
          <w:rFonts w:ascii="Calibri" w:hAnsi="Calibri"/>
          <w:lang w:val="en-GB"/>
        </w:rPr>
        <w:t xml:space="preserve">eadership, </w:t>
      </w:r>
      <w:r w:rsidR="007A451B">
        <w:rPr>
          <w:rFonts w:ascii="Calibri" w:hAnsi="Calibri"/>
          <w:lang w:val="en-GB"/>
        </w:rPr>
        <w:t xml:space="preserve">knowledge, capacity and a policy/planning framework </w:t>
      </w:r>
      <w:r w:rsidR="003C2019">
        <w:rPr>
          <w:rFonts w:ascii="Calibri" w:hAnsi="Calibri"/>
          <w:lang w:val="en-GB"/>
        </w:rPr>
        <w:t xml:space="preserve">has given momentum for </w:t>
      </w:r>
      <w:r w:rsidR="007A451B">
        <w:rPr>
          <w:rFonts w:ascii="Calibri" w:hAnsi="Calibri"/>
          <w:lang w:val="en-GB"/>
        </w:rPr>
        <w:t xml:space="preserve">MDPAC </w:t>
      </w:r>
      <w:r w:rsidR="003C2019">
        <w:rPr>
          <w:rFonts w:ascii="Calibri" w:hAnsi="Calibri"/>
          <w:lang w:val="en-GB"/>
        </w:rPr>
        <w:t xml:space="preserve">to incorporate risk into </w:t>
      </w:r>
      <w:r w:rsidR="00E935DD" w:rsidRPr="00295F5A">
        <w:rPr>
          <w:rFonts w:ascii="Calibri" w:hAnsi="Calibri"/>
          <w:lang w:val="en-GB"/>
        </w:rPr>
        <w:t>national project planning</w:t>
      </w:r>
      <w:r w:rsidR="003C2019">
        <w:rPr>
          <w:rFonts w:ascii="Calibri" w:hAnsi="Calibri"/>
          <w:lang w:val="en-GB"/>
        </w:rPr>
        <w:t xml:space="preserve"> and programming </w:t>
      </w:r>
      <w:r w:rsidR="003C2019">
        <w:rPr>
          <w:rFonts w:ascii="Calibri" w:hAnsi="Calibri"/>
          <w:b/>
          <w:lang w:val="en-GB"/>
        </w:rPr>
        <w:t xml:space="preserve">process, </w:t>
      </w:r>
      <w:r w:rsidR="00E935DD" w:rsidRPr="00295F5A">
        <w:rPr>
          <w:rFonts w:ascii="Calibri" w:hAnsi="Calibri"/>
          <w:b/>
          <w:lang w:val="en-GB"/>
        </w:rPr>
        <w:t>proce</w:t>
      </w:r>
      <w:r w:rsidR="00E935DD">
        <w:rPr>
          <w:rFonts w:ascii="Calibri" w:hAnsi="Calibri"/>
          <w:b/>
          <w:lang w:val="en-GB"/>
        </w:rPr>
        <w:t>dures and tools</w:t>
      </w:r>
      <w:r w:rsidR="00E935DD" w:rsidRPr="00295F5A">
        <w:rPr>
          <w:rFonts w:ascii="Calibri" w:hAnsi="Calibri"/>
          <w:b/>
          <w:lang w:val="en-GB"/>
        </w:rPr>
        <w:t xml:space="preserve"> </w:t>
      </w:r>
      <w:r w:rsidR="00E935DD">
        <w:rPr>
          <w:rFonts w:ascii="Calibri" w:hAnsi="Calibri"/>
          <w:lang w:val="en-GB"/>
        </w:rPr>
        <w:t>led by MDPAC</w:t>
      </w:r>
      <w:r w:rsidR="003C2019">
        <w:rPr>
          <w:rFonts w:ascii="Calibri" w:hAnsi="Calibri"/>
          <w:lang w:val="en-GB"/>
        </w:rPr>
        <w:t xml:space="preserve">.  Although in 2014 the </w:t>
      </w:r>
      <w:r w:rsidR="000670BA">
        <w:rPr>
          <w:rFonts w:ascii="Calibri" w:hAnsi="Calibri"/>
          <w:lang w:val="en-GB"/>
        </w:rPr>
        <w:t xml:space="preserve">appraisal template for new project proposals </w:t>
      </w:r>
      <w:r w:rsidR="003C2019">
        <w:rPr>
          <w:rFonts w:ascii="Calibri" w:hAnsi="Calibri"/>
          <w:lang w:val="en-GB"/>
        </w:rPr>
        <w:t xml:space="preserve">was updated to incorporate climate and disaster risk, it has taken time to development supporting tools and </w:t>
      </w:r>
      <w:r>
        <w:rPr>
          <w:rFonts w:ascii="Calibri" w:hAnsi="Calibri"/>
          <w:lang w:val="en-GB"/>
        </w:rPr>
        <w:t>capacity</w:t>
      </w:r>
      <w:r w:rsidR="003C2019">
        <w:rPr>
          <w:rFonts w:ascii="Calibri" w:hAnsi="Calibri"/>
          <w:lang w:val="en-GB"/>
        </w:rPr>
        <w:t xml:space="preserve"> to fully integrate risk into the project planning process.  </w:t>
      </w:r>
      <w:r>
        <w:rPr>
          <w:rFonts w:ascii="Calibri" w:hAnsi="Calibri"/>
          <w:lang w:val="en-GB"/>
        </w:rPr>
        <w:t>MDPAC</w:t>
      </w:r>
      <w:r w:rsidR="003C2019">
        <w:rPr>
          <w:rFonts w:ascii="Calibri" w:hAnsi="Calibri"/>
          <w:lang w:val="en-GB"/>
        </w:rPr>
        <w:t xml:space="preserve"> are currently rolling out a risk screening tool (and guidelines</w:t>
      </w:r>
      <w:r w:rsidR="003C2019">
        <w:rPr>
          <w:rStyle w:val="FootnoteReference"/>
          <w:rFonts w:ascii="Calibri" w:hAnsi="Calibri"/>
          <w:lang w:val="en-GB"/>
        </w:rPr>
        <w:footnoteReference w:id="13"/>
      </w:r>
      <w:r w:rsidR="003C2019">
        <w:rPr>
          <w:rFonts w:ascii="Calibri" w:hAnsi="Calibri"/>
          <w:lang w:val="en-GB"/>
        </w:rPr>
        <w:t xml:space="preserve">) accompanied by training to sector planners </w:t>
      </w:r>
      <w:r w:rsidR="00476099">
        <w:rPr>
          <w:rFonts w:ascii="Calibri" w:hAnsi="Calibri"/>
          <w:lang w:val="en-GB"/>
        </w:rPr>
        <w:t xml:space="preserve">(as part of MTDP training) </w:t>
      </w:r>
      <w:r w:rsidR="003C2019">
        <w:rPr>
          <w:rFonts w:ascii="Calibri" w:hAnsi="Calibri"/>
          <w:lang w:val="en-GB"/>
        </w:rPr>
        <w:t>to risk inform development project</w:t>
      </w:r>
      <w:r w:rsidR="000670BA">
        <w:rPr>
          <w:rFonts w:ascii="Calibri" w:hAnsi="Calibri"/>
          <w:lang w:val="en-GB"/>
        </w:rPr>
        <w:t xml:space="preserve"> site</w:t>
      </w:r>
      <w:r w:rsidR="003C2019">
        <w:rPr>
          <w:rFonts w:ascii="Calibri" w:hAnsi="Calibri"/>
          <w:lang w:val="en-GB"/>
        </w:rPr>
        <w:t xml:space="preserve"> selection, design and implementation</w:t>
      </w:r>
      <w:r w:rsidR="00E935DD">
        <w:rPr>
          <w:rFonts w:ascii="Calibri" w:hAnsi="Calibri"/>
          <w:lang w:val="en-GB"/>
        </w:rPr>
        <w:t xml:space="preserve"> </w:t>
      </w:r>
      <w:r w:rsidR="000670BA" w:rsidRPr="00C370CC">
        <w:rPr>
          <w:rFonts w:ascii="Calibri" w:hAnsi="Calibri"/>
          <w:b/>
          <w:color w:val="C00000"/>
          <w:lang w:val="en-GB"/>
        </w:rPr>
        <w:t>(organisation component</w:t>
      </w:r>
      <w:r w:rsidR="00476099" w:rsidRPr="00C370CC">
        <w:rPr>
          <w:b/>
          <w:color w:val="C00000"/>
          <w:lang w:val="en-GB"/>
        </w:rPr>
        <w:t>).</w:t>
      </w:r>
      <w:r w:rsidR="00476099" w:rsidRPr="00C370CC">
        <w:rPr>
          <w:color w:val="C00000"/>
          <w:lang w:val="en-GB"/>
        </w:rPr>
        <w:t xml:space="preserve">  </w:t>
      </w:r>
      <w:r w:rsidR="00476099" w:rsidRPr="00C370CC">
        <w:rPr>
          <w:lang w:val="en-GB"/>
        </w:rPr>
        <w:t xml:space="preserve">The new RRD Director is also </w:t>
      </w:r>
      <w:r w:rsidR="00683DDE" w:rsidRPr="00C370CC">
        <w:t xml:space="preserve">working with </w:t>
      </w:r>
      <w:r w:rsidR="003C2019">
        <w:t xml:space="preserve">the </w:t>
      </w:r>
      <w:r w:rsidR="00683DDE" w:rsidRPr="00C370CC">
        <w:t xml:space="preserve">MDPAC Standards Committee to integrate risk into </w:t>
      </w:r>
      <w:r>
        <w:t xml:space="preserve">project </w:t>
      </w:r>
      <w:r w:rsidR="00683DDE" w:rsidRPr="00C370CC">
        <w:t xml:space="preserve">review </w:t>
      </w:r>
      <w:r w:rsidR="000514E4">
        <w:rPr>
          <w:b/>
        </w:rPr>
        <w:t>tool</w:t>
      </w:r>
      <w:r>
        <w:rPr>
          <w:b/>
        </w:rPr>
        <w:t>s</w:t>
      </w:r>
      <w:r w:rsidR="000514E4">
        <w:rPr>
          <w:b/>
        </w:rPr>
        <w:t xml:space="preserve"> </w:t>
      </w:r>
      <w:r w:rsidR="000514E4">
        <w:t>to ensure risk is incorporated into budget allocations</w:t>
      </w:r>
      <w:r w:rsidR="00767717">
        <w:t xml:space="preserve"> </w:t>
      </w:r>
      <w:r w:rsidR="00767717" w:rsidRPr="003C2019">
        <w:rPr>
          <w:rFonts w:ascii="Calibri" w:hAnsi="Calibri"/>
          <w:b/>
          <w:color w:val="7030A0"/>
          <w:lang w:val="en-GB"/>
        </w:rPr>
        <w:t>(finance component</w:t>
      </w:r>
      <w:r w:rsidR="00767717" w:rsidRPr="003C2019">
        <w:rPr>
          <w:b/>
          <w:color w:val="7030A0"/>
          <w:lang w:val="en-GB"/>
        </w:rPr>
        <w:t>).</w:t>
      </w:r>
      <w:r w:rsidR="00767717" w:rsidRPr="003C2019">
        <w:rPr>
          <w:color w:val="7030A0"/>
          <w:lang w:val="en-GB"/>
        </w:rPr>
        <w:t xml:space="preserve"> </w:t>
      </w:r>
      <w:r w:rsidR="00767717">
        <w:t>T</w:t>
      </w:r>
      <w:r w:rsidR="003C2019">
        <w:t xml:space="preserve">he </w:t>
      </w:r>
      <w:r w:rsidR="00476099" w:rsidRPr="00C370CC">
        <w:t>MDPAC</w:t>
      </w:r>
      <w:r w:rsidR="00683DDE" w:rsidRPr="00C370CC">
        <w:t xml:space="preserve"> M &amp; E team integrate</w:t>
      </w:r>
      <w:r w:rsidR="00767717">
        <w:t>d</w:t>
      </w:r>
      <w:r w:rsidR="00683DDE" w:rsidRPr="00C370CC">
        <w:t xml:space="preserve"> risk into the </w:t>
      </w:r>
      <w:r w:rsidR="00683DDE" w:rsidRPr="003C2019">
        <w:rPr>
          <w:b/>
        </w:rPr>
        <w:t>M &amp; E</w:t>
      </w:r>
      <w:r w:rsidR="00683DDE" w:rsidRPr="003C2019">
        <w:t xml:space="preserve"> framework for development projects</w:t>
      </w:r>
      <w:r w:rsidR="00767717">
        <w:t xml:space="preserve"> </w:t>
      </w:r>
      <w:r w:rsidR="00767717" w:rsidRPr="00767717">
        <w:rPr>
          <w:b/>
          <w:color w:val="385623" w:themeColor="accent6" w:themeShade="80"/>
        </w:rPr>
        <w:t>(knowledge component)</w:t>
      </w:r>
      <w:r w:rsidR="00767717" w:rsidRPr="00767717">
        <w:rPr>
          <w:color w:val="385623" w:themeColor="accent6" w:themeShade="80"/>
        </w:rPr>
        <w:t>.</w:t>
      </w:r>
      <w:r w:rsidR="000514E4" w:rsidRPr="003C2019">
        <w:t xml:space="preserve"> </w:t>
      </w:r>
      <w:r w:rsidR="00476099" w:rsidRPr="003C2019">
        <w:t>PRRP has also worked to develop capacity (a new post in MECDM</w:t>
      </w:r>
      <w:r w:rsidR="00767717">
        <w:rPr>
          <w:rFonts w:ascii="Calibri" w:hAnsi="Calibri"/>
          <w:b/>
          <w:color w:val="C00000"/>
          <w:lang w:val="en-GB"/>
        </w:rPr>
        <w:t xml:space="preserve"> - </w:t>
      </w:r>
      <w:r w:rsidR="00767717" w:rsidRPr="00C370CC">
        <w:rPr>
          <w:rFonts w:ascii="Calibri" w:hAnsi="Calibri"/>
          <w:b/>
          <w:color w:val="C00000"/>
          <w:lang w:val="en-GB"/>
        </w:rPr>
        <w:t>organisation component</w:t>
      </w:r>
      <w:r w:rsidR="00476099" w:rsidRPr="003C2019">
        <w:t xml:space="preserve">) to </w:t>
      </w:r>
      <w:r w:rsidR="003C2019" w:rsidRPr="003C2019">
        <w:t>install</w:t>
      </w:r>
      <w:r w:rsidR="00476099" w:rsidRPr="003C2019">
        <w:t xml:space="preserve"> a newly </w:t>
      </w:r>
      <w:r w:rsidR="00767717" w:rsidRPr="003C2019">
        <w:t>centralized</w:t>
      </w:r>
      <w:r w:rsidR="00476099" w:rsidRPr="003C2019">
        <w:t xml:space="preserve"> Risk Resilient Development (RRD) Geographic Information System</w:t>
      </w:r>
      <w:r w:rsidR="00476099" w:rsidRPr="00C370CC">
        <w:t xml:space="preserve"> (GIS) mapping database</w:t>
      </w:r>
      <w:r>
        <w:t>,</w:t>
      </w:r>
      <w:r w:rsidR="00E935DD" w:rsidRPr="00C370CC">
        <w:rPr>
          <w:lang w:val="en-GB"/>
        </w:rPr>
        <w:t xml:space="preserve"> which provides risk maps for planners</w:t>
      </w:r>
      <w:r w:rsidR="00476099" w:rsidRPr="00C370CC">
        <w:rPr>
          <w:lang w:val="en-GB"/>
        </w:rPr>
        <w:t xml:space="preserve"> (</w:t>
      </w:r>
      <w:r w:rsidR="00476099" w:rsidRPr="004559FB">
        <w:rPr>
          <w:b/>
          <w:color w:val="385623" w:themeColor="accent6" w:themeShade="80"/>
          <w:lang w:val="en-GB"/>
        </w:rPr>
        <w:t xml:space="preserve">knowledge </w:t>
      </w:r>
      <w:r w:rsidR="00767717">
        <w:rPr>
          <w:b/>
          <w:color w:val="385623" w:themeColor="accent6" w:themeShade="80"/>
          <w:lang w:val="en-GB"/>
        </w:rPr>
        <w:t xml:space="preserve">&amp; </w:t>
      </w:r>
      <w:r w:rsidR="00476099" w:rsidRPr="004559FB">
        <w:rPr>
          <w:b/>
          <w:color w:val="385623" w:themeColor="accent6" w:themeShade="80"/>
          <w:lang w:val="en-GB"/>
        </w:rPr>
        <w:t>component</w:t>
      </w:r>
      <w:r w:rsidR="00476099" w:rsidRPr="00C370CC">
        <w:rPr>
          <w:lang w:val="en-GB"/>
        </w:rPr>
        <w:t>)</w:t>
      </w:r>
      <w:r w:rsidR="00E935DD" w:rsidRPr="00C370CC">
        <w:rPr>
          <w:lang w:val="en-GB"/>
        </w:rPr>
        <w:t>. Increasingly, work</w:t>
      </w:r>
      <w:r w:rsidR="00E935DD" w:rsidRPr="00295F5A">
        <w:rPr>
          <w:rFonts w:ascii="Calibri" w:hAnsi="Calibri"/>
          <w:lang w:val="en-GB"/>
        </w:rPr>
        <w:t xml:space="preserve"> is needed to connect th</w:t>
      </w:r>
      <w:r w:rsidR="003C2019">
        <w:rPr>
          <w:rFonts w:ascii="Calibri" w:hAnsi="Calibri"/>
          <w:lang w:val="en-GB"/>
        </w:rPr>
        <w:t>ese tools (e.g. GIS maps) and the</w:t>
      </w:r>
      <w:r w:rsidR="00E935DD" w:rsidRPr="00295F5A">
        <w:rPr>
          <w:rFonts w:ascii="Calibri" w:hAnsi="Calibri"/>
          <w:lang w:val="en-GB"/>
        </w:rPr>
        <w:t xml:space="preserve"> </w:t>
      </w:r>
      <w:r w:rsidR="003C2019">
        <w:rPr>
          <w:rFonts w:ascii="Calibri" w:hAnsi="Calibri"/>
          <w:lang w:val="en-GB"/>
        </w:rPr>
        <w:t>national level</w:t>
      </w:r>
      <w:r w:rsidR="00E935DD" w:rsidRPr="00295F5A">
        <w:rPr>
          <w:rFonts w:ascii="Calibri" w:hAnsi="Calibri"/>
          <w:lang w:val="en-GB"/>
        </w:rPr>
        <w:t xml:space="preserve"> planning process with </w:t>
      </w:r>
      <w:r w:rsidR="003C2019">
        <w:rPr>
          <w:rFonts w:ascii="Calibri" w:hAnsi="Calibri"/>
          <w:lang w:val="en-GB"/>
        </w:rPr>
        <w:t>the risk informed</w:t>
      </w:r>
      <w:r w:rsidR="00E935DD" w:rsidRPr="00295F5A">
        <w:rPr>
          <w:rFonts w:ascii="Calibri" w:hAnsi="Calibri"/>
          <w:lang w:val="en-GB"/>
        </w:rPr>
        <w:t xml:space="preserve"> community based development planning</w:t>
      </w:r>
      <w:r w:rsidR="003C2019">
        <w:rPr>
          <w:rFonts w:ascii="Calibri" w:hAnsi="Calibri"/>
          <w:lang w:val="en-GB"/>
        </w:rPr>
        <w:t xml:space="preserve"> process</w:t>
      </w:r>
      <w:r w:rsidR="00C370CC">
        <w:rPr>
          <w:rFonts w:ascii="Calibri" w:hAnsi="Calibri"/>
          <w:lang w:val="en-GB"/>
        </w:rPr>
        <w:t xml:space="preserve">, which is being rolled out in </w:t>
      </w:r>
      <w:r w:rsidR="003C2019">
        <w:rPr>
          <w:rFonts w:ascii="Calibri" w:hAnsi="Calibri"/>
          <w:lang w:val="en-GB"/>
        </w:rPr>
        <w:t xml:space="preserve">a number of </w:t>
      </w:r>
      <w:r w:rsidR="00C370CC">
        <w:rPr>
          <w:rFonts w:ascii="Calibri" w:hAnsi="Calibri"/>
          <w:lang w:val="en-GB"/>
        </w:rPr>
        <w:t>province</w:t>
      </w:r>
      <w:r w:rsidR="003C2019">
        <w:rPr>
          <w:rFonts w:ascii="Calibri" w:hAnsi="Calibri"/>
          <w:lang w:val="en-GB"/>
        </w:rPr>
        <w:t xml:space="preserve">s via new </w:t>
      </w:r>
      <w:r w:rsidR="003C2019" w:rsidRPr="003C2019">
        <w:rPr>
          <w:rFonts w:ascii="Calibri" w:hAnsi="Calibri"/>
          <w:b/>
          <w:lang w:val="en-GB"/>
        </w:rPr>
        <w:t>capacity</w:t>
      </w:r>
      <w:r w:rsidR="003C2019">
        <w:rPr>
          <w:rFonts w:ascii="Calibri" w:hAnsi="Calibri"/>
          <w:lang w:val="en-GB"/>
        </w:rPr>
        <w:t xml:space="preserve"> (i.e. posts) in </w:t>
      </w:r>
      <w:r w:rsidR="00C370CC">
        <w:rPr>
          <w:rFonts w:ascii="Calibri" w:hAnsi="Calibri"/>
          <w:lang w:val="en-GB"/>
        </w:rPr>
        <w:t xml:space="preserve">subnational </w:t>
      </w:r>
      <w:r w:rsidR="003C2019">
        <w:rPr>
          <w:rFonts w:ascii="Calibri" w:hAnsi="Calibri"/>
          <w:lang w:val="en-GB"/>
        </w:rPr>
        <w:t xml:space="preserve">government </w:t>
      </w:r>
      <w:r w:rsidR="00C370CC" w:rsidRPr="00C370CC">
        <w:rPr>
          <w:rFonts w:ascii="Calibri" w:hAnsi="Calibri"/>
          <w:b/>
          <w:color w:val="385623" w:themeColor="accent6" w:themeShade="80"/>
          <w:lang w:val="en-GB"/>
        </w:rPr>
        <w:t>(knowledge component)</w:t>
      </w:r>
      <w:r w:rsidR="003C2019">
        <w:rPr>
          <w:rFonts w:ascii="Calibri" w:hAnsi="Calibri"/>
          <w:b/>
          <w:color w:val="385623" w:themeColor="accent6" w:themeShade="80"/>
          <w:lang w:val="en-GB"/>
        </w:rPr>
        <w:t xml:space="preserve">.  </w:t>
      </w:r>
    </w:p>
    <w:p w14:paraId="436D49F4" w14:textId="1FDCC283" w:rsidR="00C45FC4" w:rsidRDefault="00476099" w:rsidP="003D6298">
      <w:pPr>
        <w:spacing w:after="0"/>
        <w:jc w:val="both"/>
        <w:rPr>
          <w:b/>
          <w:color w:val="FFC000" w:themeColor="accent4"/>
          <w:sz w:val="20"/>
          <w:szCs w:val="20"/>
        </w:rPr>
      </w:pPr>
      <w:r>
        <w:rPr>
          <w:rFonts w:ascii="Calibri" w:hAnsi="Calibri"/>
          <w:lang w:val="en-GB"/>
        </w:rPr>
        <w:t xml:space="preserve">In terms of </w:t>
      </w:r>
      <w:r w:rsidR="00767717">
        <w:rPr>
          <w:rFonts w:ascii="Calibri" w:hAnsi="Calibri"/>
          <w:b/>
          <w:lang w:val="en-GB"/>
        </w:rPr>
        <w:t>coordination</w:t>
      </w:r>
      <w:r>
        <w:rPr>
          <w:rFonts w:ascii="Calibri" w:hAnsi="Calibri"/>
          <w:lang w:val="en-GB"/>
        </w:rPr>
        <w:t xml:space="preserve">, PRRP helped develop a Recovery Coordination Committee (RCC) to support more resilient and coordinated recovery and reconstruction posts disasters (led by MDPAC) </w:t>
      </w:r>
      <w:r w:rsidR="003D6298">
        <w:rPr>
          <w:rFonts w:ascii="Calibri" w:hAnsi="Calibri"/>
          <w:lang w:val="en-GB"/>
        </w:rPr>
        <w:t xml:space="preserve">and to link recovery with ongoing risk informed development planning.  Initially </w:t>
      </w:r>
      <w:r w:rsidRPr="00C370CC">
        <w:rPr>
          <w:rFonts w:ascii="Calibri" w:hAnsi="Calibri"/>
          <w:lang w:val="en-GB"/>
        </w:rPr>
        <w:t>a</w:t>
      </w:r>
      <w:r w:rsidR="00683DDE" w:rsidRPr="00C370CC">
        <w:rPr>
          <w:rFonts w:cs="Times New Roman"/>
        </w:rPr>
        <w:t xml:space="preserve"> Risk Resilient Development</w:t>
      </w:r>
      <w:r w:rsidRPr="00C370CC">
        <w:rPr>
          <w:rFonts w:cs="Times New Roman"/>
        </w:rPr>
        <w:t xml:space="preserve"> (RRD)</w:t>
      </w:r>
      <w:r w:rsidR="00683DDE" w:rsidRPr="00C370CC">
        <w:rPr>
          <w:rFonts w:cs="Times New Roman"/>
        </w:rPr>
        <w:t xml:space="preserve"> </w:t>
      </w:r>
      <w:r w:rsidR="00683DDE" w:rsidRPr="003D6298">
        <w:rPr>
          <w:rFonts w:cs="Times New Roman"/>
          <w:b/>
        </w:rPr>
        <w:t>working group</w:t>
      </w:r>
      <w:r w:rsidR="00683DDE" w:rsidRPr="00C370CC">
        <w:rPr>
          <w:rFonts w:cs="Times New Roman"/>
        </w:rPr>
        <w:t xml:space="preserve"> </w:t>
      </w:r>
      <w:r w:rsidR="003D6298">
        <w:rPr>
          <w:rFonts w:cs="Times New Roman"/>
        </w:rPr>
        <w:t xml:space="preserve">was established </w:t>
      </w:r>
      <w:r w:rsidR="00683DDE" w:rsidRPr="00C370CC">
        <w:rPr>
          <w:rFonts w:cs="Times New Roman"/>
        </w:rPr>
        <w:t>as an internal MDPAC forum in early 2014 to discuss the relevance of risk to planners</w:t>
      </w:r>
      <w:r w:rsidR="003D6298">
        <w:rPr>
          <w:rFonts w:cs="Times New Roman"/>
        </w:rPr>
        <w:t>.  G</w:t>
      </w:r>
      <w:r w:rsidR="00683DDE" w:rsidRPr="00C370CC">
        <w:rPr>
          <w:rFonts w:cs="Times New Roman"/>
        </w:rPr>
        <w:t>radually this was extended to specialists from M</w:t>
      </w:r>
      <w:r w:rsidR="003D6298">
        <w:rPr>
          <w:rFonts w:cs="Times New Roman"/>
        </w:rPr>
        <w:t>ECDM</w:t>
      </w:r>
      <w:r w:rsidR="00683DDE" w:rsidRPr="00C370CC">
        <w:rPr>
          <w:rFonts w:cs="Times New Roman"/>
        </w:rPr>
        <w:t xml:space="preserve"> and eventually </w:t>
      </w:r>
      <w:r w:rsidRPr="00C370CC">
        <w:rPr>
          <w:rFonts w:cs="Times New Roman"/>
        </w:rPr>
        <w:t xml:space="preserve">RRD </w:t>
      </w:r>
      <w:r w:rsidR="00683DDE" w:rsidRPr="00C370CC">
        <w:rPr>
          <w:rFonts w:cs="Times New Roman"/>
        </w:rPr>
        <w:t>focal points from other sectors</w:t>
      </w:r>
      <w:r w:rsidR="003D6298">
        <w:rPr>
          <w:rFonts w:cs="Times New Roman"/>
        </w:rPr>
        <w:t xml:space="preserve">.  The group prepared </w:t>
      </w:r>
      <w:r w:rsidR="00683DDE" w:rsidRPr="00C370CC">
        <w:rPr>
          <w:rFonts w:cs="Times New Roman"/>
        </w:rPr>
        <w:t>an Action Plan for Resilient Development</w:t>
      </w:r>
      <w:r w:rsidR="003D6298">
        <w:rPr>
          <w:rFonts w:cs="Times New Roman"/>
        </w:rPr>
        <w:t>, however, discussions are underway to elevate this to a higher-level RRD working group between Permanent Secretaries from each ministry</w:t>
      </w:r>
      <w:r w:rsidR="00767717">
        <w:rPr>
          <w:b/>
          <w:color w:val="FFC000" w:themeColor="accent4"/>
        </w:rPr>
        <w:t xml:space="preserve"> </w:t>
      </w:r>
      <w:r w:rsidR="00767717" w:rsidRPr="00767717">
        <w:rPr>
          <w:b/>
          <w:color w:val="C00000"/>
        </w:rPr>
        <w:t xml:space="preserve">(organization </w:t>
      </w:r>
      <w:r w:rsidR="003D6298" w:rsidRPr="00767717">
        <w:rPr>
          <w:b/>
          <w:color w:val="C00000"/>
        </w:rPr>
        <w:t>component)</w:t>
      </w:r>
      <w:r w:rsidR="003D6298" w:rsidRPr="00C370CC">
        <w:rPr>
          <w:b/>
          <w:color w:val="FFC000" w:themeColor="accent4"/>
        </w:rPr>
        <w:t>.</w:t>
      </w:r>
      <w:r w:rsidR="003D6298">
        <w:rPr>
          <w:rFonts w:cs="Times New Roman"/>
          <w:color w:val="FFC000" w:themeColor="accent4"/>
        </w:rPr>
        <w:t xml:space="preserve"> </w:t>
      </w:r>
      <w:r w:rsidRPr="00C370CC">
        <w:rPr>
          <w:rFonts w:cs="Times New Roman"/>
        </w:rPr>
        <w:t xml:space="preserve">Other important coordination </w:t>
      </w:r>
      <w:r w:rsidR="00767717">
        <w:rPr>
          <w:rFonts w:cs="Times New Roman"/>
        </w:rPr>
        <w:t>mechanisms</w:t>
      </w:r>
      <w:r w:rsidRPr="00C370CC">
        <w:rPr>
          <w:rFonts w:cs="Times New Roman"/>
        </w:rPr>
        <w:t xml:space="preserve"> </w:t>
      </w:r>
      <w:r w:rsidR="003D6298">
        <w:rPr>
          <w:rFonts w:cs="Times New Roman"/>
        </w:rPr>
        <w:t xml:space="preserve">that have been established </w:t>
      </w:r>
      <w:r w:rsidRPr="00C370CC">
        <w:rPr>
          <w:rFonts w:cs="Times New Roman"/>
        </w:rPr>
        <w:t xml:space="preserve">are the GIS user group to </w:t>
      </w:r>
      <w:r w:rsidR="00683DDE" w:rsidRPr="00C370CC">
        <w:t>promot</w:t>
      </w:r>
      <w:r w:rsidRPr="00C370CC">
        <w:t>e</w:t>
      </w:r>
      <w:r w:rsidR="00683DDE" w:rsidRPr="00C370CC">
        <w:t xml:space="preserve"> the sharing of relevant data </w:t>
      </w:r>
      <w:r w:rsidRPr="00C370CC">
        <w:t>and risk information</w:t>
      </w:r>
      <w:r w:rsidR="003D6298">
        <w:t xml:space="preserve"> </w:t>
      </w:r>
      <w:r w:rsidR="00767717" w:rsidRPr="00767717">
        <w:rPr>
          <w:b/>
          <w:color w:val="C00000"/>
        </w:rPr>
        <w:t>(organization component)</w:t>
      </w:r>
      <w:r w:rsidR="00767717">
        <w:rPr>
          <w:color w:val="C00000"/>
        </w:rPr>
        <w:t xml:space="preserve">. </w:t>
      </w:r>
      <w:r w:rsidR="00767717">
        <w:t>There are also</w:t>
      </w:r>
      <w:r w:rsidRPr="00C370CC">
        <w:t xml:space="preserve"> </w:t>
      </w:r>
      <w:r w:rsidRPr="00C370CC">
        <w:rPr>
          <w:b/>
        </w:rPr>
        <w:t>community networks</w:t>
      </w:r>
      <w:r w:rsidRPr="00C370CC">
        <w:t xml:space="preserve"> includ</w:t>
      </w:r>
      <w:r w:rsidR="003D6298">
        <w:t>ing</w:t>
      </w:r>
      <w:r w:rsidRPr="00C370CC">
        <w:t xml:space="preserve"> community </w:t>
      </w:r>
      <w:r w:rsidR="003D6298" w:rsidRPr="003D6298">
        <w:rPr>
          <w:rFonts w:cs="Times New Roman"/>
          <w:b/>
        </w:rPr>
        <w:t>k</w:t>
      </w:r>
      <w:r w:rsidR="003D6298">
        <w:rPr>
          <w:rFonts w:cs="Times New Roman"/>
          <w:b/>
        </w:rPr>
        <w:t>nowledge h</w:t>
      </w:r>
      <w:r w:rsidR="00683DDE" w:rsidRPr="003D6298">
        <w:rPr>
          <w:rFonts w:cs="Times New Roman"/>
          <w:b/>
        </w:rPr>
        <w:t>ubs</w:t>
      </w:r>
      <w:r w:rsidR="00683DDE" w:rsidRPr="00C370CC">
        <w:rPr>
          <w:rFonts w:cs="Times New Roman"/>
        </w:rPr>
        <w:t xml:space="preserve"> to </w:t>
      </w:r>
      <w:r w:rsidR="00683DDE" w:rsidRPr="00C370CC">
        <w:t xml:space="preserve">improve communication between farming communities and governments </w:t>
      </w:r>
      <w:r w:rsidR="003D6298">
        <w:t xml:space="preserve">(including extension workers) </w:t>
      </w:r>
      <w:r w:rsidR="00683DDE" w:rsidRPr="00C370CC">
        <w:t xml:space="preserve">and provide a platform for regular information exchange and training </w:t>
      </w:r>
      <w:r w:rsidR="004559FB">
        <w:t>on climate resilient crop varieties and resilient farming techniques</w:t>
      </w:r>
      <w:r w:rsidR="00767717">
        <w:t xml:space="preserve"> </w:t>
      </w:r>
      <w:r w:rsidR="001C4B84" w:rsidRPr="001C4B84">
        <w:rPr>
          <w:b/>
          <w:color w:val="FFC000"/>
        </w:rPr>
        <w:t>(</w:t>
      </w:r>
      <w:r w:rsidR="001C4B84">
        <w:rPr>
          <w:b/>
          <w:color w:val="FFC000"/>
        </w:rPr>
        <w:t>stakeholder component</w:t>
      </w:r>
      <w:r w:rsidR="001C4B84" w:rsidRPr="001C4B84">
        <w:rPr>
          <w:b/>
          <w:color w:val="FFC000"/>
        </w:rPr>
        <w:t>)</w:t>
      </w:r>
      <w:r w:rsidR="00683DDE" w:rsidRPr="00C370CC">
        <w:t>.</w:t>
      </w:r>
      <w:r w:rsidRPr="00C370CC">
        <w:t xml:space="preserve"> Finally, climate change and disaster risk issues as well as GS</w:t>
      </w:r>
      <w:r w:rsidR="003D6298">
        <w:t>I</w:t>
      </w:r>
      <w:r w:rsidRPr="00C370CC">
        <w:t xml:space="preserve"> issues have been incorporat</w:t>
      </w:r>
      <w:r w:rsidR="00C370CC">
        <w:t>e</w:t>
      </w:r>
      <w:r w:rsidRPr="00C370CC">
        <w:t xml:space="preserve">d into the Draft </w:t>
      </w:r>
      <w:r w:rsidRPr="003D6298">
        <w:rPr>
          <w:b/>
        </w:rPr>
        <w:t>Environment Act</w:t>
      </w:r>
      <w:r w:rsidRPr="00C370CC">
        <w:t xml:space="preserve"> and corresponding EIA </w:t>
      </w:r>
      <w:r w:rsidR="00C370CC" w:rsidRPr="00C370CC">
        <w:t>checklists</w:t>
      </w:r>
      <w:r w:rsidRPr="00C370CC">
        <w:t xml:space="preserve"> and Guidelines to ensure permitting procedures take into account</w:t>
      </w:r>
      <w:r w:rsidR="003D6298">
        <w:t xml:space="preserve"> disaster and climate change</w:t>
      </w:r>
      <w:r w:rsidRPr="00C370CC">
        <w:t xml:space="preserve"> risks</w:t>
      </w:r>
      <w:r w:rsidR="003D6298">
        <w:t xml:space="preserve"> </w:t>
      </w:r>
      <w:r w:rsidR="003D6298" w:rsidRPr="00C370CC">
        <w:rPr>
          <w:rFonts w:ascii="Calibri" w:hAnsi="Calibri"/>
          <w:b/>
          <w:color w:val="0070C0"/>
          <w:lang w:val="en-GB"/>
        </w:rPr>
        <w:t>(policy component</w:t>
      </w:r>
      <w:r w:rsidR="001C4B84">
        <w:rPr>
          <w:rFonts w:ascii="Calibri" w:hAnsi="Calibri"/>
          <w:b/>
          <w:color w:val="0070C0"/>
          <w:lang w:val="en-GB"/>
        </w:rPr>
        <w:t xml:space="preserve"> &amp;</w:t>
      </w:r>
      <w:r w:rsidR="001C4B84" w:rsidRPr="001C4B84">
        <w:rPr>
          <w:b/>
          <w:color w:val="FFC000"/>
        </w:rPr>
        <w:t xml:space="preserve"> </w:t>
      </w:r>
      <w:r w:rsidR="001C4B84">
        <w:rPr>
          <w:b/>
          <w:color w:val="FFC000"/>
        </w:rPr>
        <w:t>stakeholder component)</w:t>
      </w:r>
      <w:r w:rsidR="003D6298" w:rsidRPr="00C370CC">
        <w:rPr>
          <w:rFonts w:ascii="Calibri" w:hAnsi="Calibri"/>
          <w:b/>
          <w:lang w:val="en-GB"/>
        </w:rPr>
        <w:t>.</w:t>
      </w:r>
      <w:r w:rsidR="003D6298" w:rsidRPr="00C370CC">
        <w:rPr>
          <w:rFonts w:asciiTheme="majorHAnsi" w:hAnsiTheme="majorHAnsi"/>
          <w:b/>
          <w:sz w:val="20"/>
          <w:szCs w:val="20"/>
        </w:rPr>
        <w:t xml:space="preserve"> </w:t>
      </w:r>
      <w:r w:rsidRPr="00C370CC">
        <w:t>Finally, efforts</w:t>
      </w:r>
      <w:r w:rsidR="003D6298">
        <w:t xml:space="preserve"> are </w:t>
      </w:r>
      <w:r w:rsidRPr="00C370CC">
        <w:t xml:space="preserve">under way to initiate a partnership with Digicel (a telecommunications provider) </w:t>
      </w:r>
      <w:r w:rsidR="004559FB">
        <w:t>to link with</w:t>
      </w:r>
      <w:r w:rsidRPr="00C370CC">
        <w:t xml:space="preserve"> NDMO </w:t>
      </w:r>
      <w:r w:rsidR="004559FB">
        <w:t xml:space="preserve">on awareness raising activities </w:t>
      </w:r>
      <w:r w:rsidRPr="00C370CC">
        <w:rPr>
          <w:b/>
          <w:color w:val="FFC000" w:themeColor="accent4"/>
        </w:rPr>
        <w:t>(stakeholder component).</w:t>
      </w:r>
      <w:r w:rsidRPr="00C370CC">
        <w:rPr>
          <w:b/>
          <w:color w:val="FFC000" w:themeColor="accent4"/>
          <w:sz w:val="20"/>
          <w:szCs w:val="20"/>
        </w:rPr>
        <w:t xml:space="preserve"> </w:t>
      </w:r>
    </w:p>
    <w:p w14:paraId="32D1CF79" w14:textId="77777777" w:rsidR="003D6298" w:rsidRPr="00C370CC" w:rsidRDefault="003D6298" w:rsidP="003D6298">
      <w:pPr>
        <w:spacing w:after="0"/>
        <w:jc w:val="both"/>
        <w:rPr>
          <w:rFonts w:ascii="Calibri" w:hAnsi="Calibri" w:cs="Calibri"/>
          <w:b/>
          <w:i/>
          <w:color w:val="FFC000" w:themeColor="accent4"/>
          <w:sz w:val="28"/>
          <w:szCs w:val="28"/>
          <w:lang w:bidi="ar-SA"/>
        </w:rPr>
      </w:pPr>
    </w:p>
    <w:p w14:paraId="08BF6758" w14:textId="159BE876" w:rsidR="00717B6C" w:rsidRPr="001809BE" w:rsidRDefault="001809BE" w:rsidP="00C370CC">
      <w:pPr>
        <w:rPr>
          <w:rFonts w:asciiTheme="majorHAnsi" w:hAnsiTheme="majorHAnsi"/>
          <w:b/>
          <w:color w:val="0070C0"/>
          <w:sz w:val="26"/>
          <w:szCs w:val="26"/>
        </w:rPr>
      </w:pPr>
      <w:r w:rsidRPr="001809BE">
        <w:rPr>
          <w:rFonts w:asciiTheme="majorHAnsi" w:hAnsiTheme="majorHAnsi"/>
          <w:b/>
          <w:color w:val="0070C0"/>
          <w:sz w:val="26"/>
          <w:szCs w:val="26"/>
        </w:rPr>
        <w:t>Case Study 1</w:t>
      </w:r>
      <w:r w:rsidR="00C370CC" w:rsidRPr="001809BE">
        <w:rPr>
          <w:rFonts w:asciiTheme="majorHAnsi" w:hAnsiTheme="majorHAnsi"/>
          <w:b/>
          <w:color w:val="0070C0"/>
          <w:sz w:val="26"/>
          <w:szCs w:val="26"/>
        </w:rPr>
        <w:t xml:space="preserve">:  National Level Mainstreaming in the Solomon Islands </w:t>
      </w:r>
    </w:p>
    <w:tbl>
      <w:tblPr>
        <w:tblStyle w:val="TableGrid"/>
        <w:tblW w:w="9776" w:type="dxa"/>
        <w:tblLook w:val="04A0" w:firstRow="1" w:lastRow="0" w:firstColumn="1" w:lastColumn="0" w:noHBand="0" w:noVBand="1"/>
      </w:tblPr>
      <w:tblGrid>
        <w:gridCol w:w="1838"/>
        <w:gridCol w:w="7938"/>
      </w:tblGrid>
      <w:tr w:rsidR="00C370CC" w14:paraId="12F1D4B3" w14:textId="77777777" w:rsidTr="00C370CC">
        <w:tc>
          <w:tcPr>
            <w:tcW w:w="1838" w:type="dxa"/>
            <w:shd w:val="clear" w:color="auto" w:fill="F2F2F2" w:themeFill="background1" w:themeFillShade="F2"/>
          </w:tcPr>
          <w:p w14:paraId="3AE9ED5A" w14:textId="77777777" w:rsidR="00C370CC" w:rsidRPr="008D61BF" w:rsidRDefault="00C370CC" w:rsidP="00450F5B">
            <w:pPr>
              <w:rPr>
                <w:b/>
              </w:rPr>
            </w:pPr>
            <w:r w:rsidRPr="008D61BF">
              <w:rPr>
                <w:b/>
              </w:rPr>
              <w:t>Component</w:t>
            </w:r>
          </w:p>
        </w:tc>
        <w:tc>
          <w:tcPr>
            <w:tcW w:w="7938" w:type="dxa"/>
            <w:shd w:val="clear" w:color="auto" w:fill="F2F2F2" w:themeFill="background1" w:themeFillShade="F2"/>
          </w:tcPr>
          <w:p w14:paraId="3B437A53" w14:textId="77777777" w:rsidR="00C370CC" w:rsidRPr="000514E4" w:rsidRDefault="00C370CC" w:rsidP="00EB0399">
            <w:pPr>
              <w:jc w:val="both"/>
              <w:rPr>
                <w:b/>
                <w:sz w:val="20"/>
                <w:szCs w:val="20"/>
                <w:highlight w:val="yellow"/>
              </w:rPr>
            </w:pPr>
            <w:r w:rsidRPr="000514E4">
              <w:rPr>
                <w:b/>
                <w:sz w:val="20"/>
                <w:szCs w:val="20"/>
              </w:rPr>
              <w:t>Entry points</w:t>
            </w:r>
          </w:p>
        </w:tc>
      </w:tr>
      <w:tr w:rsidR="00C370CC" w14:paraId="19E15305" w14:textId="77777777" w:rsidTr="00450F5B">
        <w:trPr>
          <w:trHeight w:val="1104"/>
        </w:trPr>
        <w:tc>
          <w:tcPr>
            <w:tcW w:w="1838" w:type="dxa"/>
            <w:shd w:val="clear" w:color="auto" w:fill="006666"/>
          </w:tcPr>
          <w:p w14:paraId="62798E79" w14:textId="77777777" w:rsidR="00C370CC" w:rsidRPr="008D61BF" w:rsidRDefault="00C370CC" w:rsidP="00450F5B">
            <w:pPr>
              <w:rPr>
                <w:b/>
                <w:color w:val="FFFFFF" w:themeColor="background1"/>
              </w:rPr>
            </w:pPr>
            <w:r w:rsidRPr="008D61BF">
              <w:rPr>
                <w:b/>
                <w:color w:val="FFFFFF" w:themeColor="background1"/>
              </w:rPr>
              <w:t>KNOWLEDGE</w:t>
            </w:r>
          </w:p>
        </w:tc>
        <w:tc>
          <w:tcPr>
            <w:tcW w:w="7938" w:type="dxa"/>
            <w:shd w:val="clear" w:color="auto" w:fill="FFFFFF" w:themeFill="background1"/>
          </w:tcPr>
          <w:p w14:paraId="53FB4177" w14:textId="0B048787" w:rsidR="00521E6C" w:rsidRPr="004559FB" w:rsidRDefault="00521E6C" w:rsidP="00521E6C">
            <w:pPr>
              <w:jc w:val="both"/>
              <w:rPr>
                <w:rFonts w:ascii="Calibri" w:hAnsi="Calibri"/>
                <w:sz w:val="20"/>
                <w:szCs w:val="20"/>
                <w:lang w:val="en-GB"/>
              </w:rPr>
            </w:pPr>
            <w:r w:rsidRPr="004559FB">
              <w:rPr>
                <w:rFonts w:ascii="Calibri" w:hAnsi="Calibri"/>
                <w:sz w:val="20"/>
                <w:szCs w:val="20"/>
                <w:lang w:val="en-GB"/>
              </w:rPr>
              <w:t xml:space="preserve">In early 2013, there was only limited understanding of the development/risk nexus and the need for mainstreaming of climate and disaster risk.  However, joint </w:t>
            </w:r>
            <w:r w:rsidRPr="004559FB">
              <w:rPr>
                <w:rFonts w:ascii="Calibri" w:hAnsi="Calibri"/>
                <w:b/>
                <w:color w:val="385623" w:themeColor="accent6" w:themeShade="80"/>
                <w:sz w:val="20"/>
                <w:szCs w:val="20"/>
                <w:lang w:val="en-GB"/>
              </w:rPr>
              <w:t>leadership</w:t>
            </w:r>
            <w:r w:rsidRPr="004559FB">
              <w:rPr>
                <w:rFonts w:ascii="Calibri" w:hAnsi="Calibri"/>
                <w:color w:val="385623" w:themeColor="accent6" w:themeShade="80"/>
                <w:sz w:val="20"/>
                <w:szCs w:val="20"/>
                <w:lang w:val="en-GB"/>
              </w:rPr>
              <w:t xml:space="preserve"> </w:t>
            </w:r>
            <w:r w:rsidRPr="004559FB">
              <w:rPr>
                <w:rFonts w:ascii="Calibri" w:hAnsi="Calibri"/>
                <w:sz w:val="20"/>
                <w:szCs w:val="20"/>
                <w:lang w:val="en-GB"/>
              </w:rPr>
              <w:t xml:space="preserve">from the Permanent Secretaries of the Ministry of Environment, Climate Change, Disaster Management and Meteorology (MECDM) and the Ministry of Development Planning and Aid Coordination (MDPAC), helped raise </w:t>
            </w:r>
            <w:r w:rsidRPr="004559FB">
              <w:rPr>
                <w:rFonts w:ascii="Calibri" w:hAnsi="Calibri"/>
                <w:b/>
                <w:color w:val="385623" w:themeColor="accent6" w:themeShade="80"/>
                <w:sz w:val="20"/>
                <w:szCs w:val="20"/>
                <w:lang w:val="en-GB"/>
              </w:rPr>
              <w:t>awareness</w:t>
            </w:r>
            <w:r w:rsidRPr="004559FB">
              <w:rPr>
                <w:rFonts w:ascii="Calibri" w:hAnsi="Calibri"/>
                <w:sz w:val="20"/>
                <w:szCs w:val="20"/>
                <w:lang w:val="en-GB"/>
              </w:rPr>
              <w:t xml:space="preserve"> of the relevance of climate and disaster risk for development actors; and championed risk informed development. The senior champions also advocated a</w:t>
            </w:r>
            <w:r w:rsidRPr="004559FB">
              <w:rPr>
                <w:rFonts w:ascii="Calibri" w:hAnsi="Calibri"/>
                <w:color w:val="000000" w:themeColor="text1"/>
                <w:sz w:val="20"/>
                <w:szCs w:val="20"/>
                <w:lang w:val="en-GB"/>
              </w:rPr>
              <w:t xml:space="preserve"> need to develop “in-house” capacity to support mainstreaming from “within” the development agenda</w:t>
            </w:r>
            <w:r w:rsidRPr="004559FB">
              <w:rPr>
                <w:rFonts w:ascii="Calibri" w:hAnsi="Calibri"/>
                <w:sz w:val="20"/>
                <w:szCs w:val="20"/>
                <w:lang w:val="en-GB"/>
              </w:rPr>
              <w:t xml:space="preserve">.  </w:t>
            </w:r>
          </w:p>
          <w:p w14:paraId="3E630290" w14:textId="77777777" w:rsidR="000514E4" w:rsidRDefault="003D6298" w:rsidP="003D6298">
            <w:pPr>
              <w:jc w:val="both"/>
              <w:rPr>
                <w:rFonts w:ascii="Calibri" w:hAnsi="Calibri"/>
                <w:b/>
                <w:color w:val="385623" w:themeColor="accent6" w:themeShade="80"/>
                <w:sz w:val="20"/>
                <w:szCs w:val="20"/>
                <w:lang w:val="en-GB"/>
              </w:rPr>
            </w:pPr>
            <w:r w:rsidRPr="004559FB">
              <w:rPr>
                <w:sz w:val="20"/>
                <w:szCs w:val="20"/>
              </w:rPr>
              <w:t>PRRP has also worked to develop capacity (a new post in MECDM) to install a newly centralised Risk Resilient Development (RRD) Geographic Information System (GIS) mapping database</w:t>
            </w:r>
            <w:r w:rsidRPr="004559FB">
              <w:rPr>
                <w:sz w:val="20"/>
                <w:szCs w:val="20"/>
                <w:lang w:val="en-GB"/>
              </w:rPr>
              <w:t xml:space="preserve"> which provides </w:t>
            </w:r>
            <w:r w:rsidRPr="004559FB">
              <w:rPr>
                <w:b/>
                <w:color w:val="538135" w:themeColor="accent6" w:themeShade="BF"/>
                <w:sz w:val="20"/>
                <w:szCs w:val="20"/>
                <w:lang w:val="en-GB"/>
              </w:rPr>
              <w:t>risk maps for planners</w:t>
            </w:r>
            <w:r w:rsidRPr="004559FB">
              <w:rPr>
                <w:color w:val="538135" w:themeColor="accent6" w:themeShade="BF"/>
                <w:sz w:val="20"/>
                <w:szCs w:val="20"/>
                <w:lang w:val="en-GB"/>
              </w:rPr>
              <w:t xml:space="preserve"> </w:t>
            </w:r>
            <w:r w:rsidRPr="004559FB">
              <w:rPr>
                <w:sz w:val="20"/>
                <w:szCs w:val="20"/>
                <w:lang w:val="en-GB"/>
              </w:rPr>
              <w:t>(knowledge component). Increasingly, work</w:t>
            </w:r>
            <w:r w:rsidRPr="004559FB">
              <w:rPr>
                <w:rFonts w:ascii="Calibri" w:hAnsi="Calibri"/>
                <w:sz w:val="20"/>
                <w:szCs w:val="20"/>
                <w:lang w:val="en-GB"/>
              </w:rPr>
              <w:t xml:space="preserve"> is needed to connect these tools (e.g. GIS maps) and the national level planning process with the risk informed community based development planning process, which is being rolled out in a number of provinces via new </w:t>
            </w:r>
            <w:r w:rsidRPr="004559FB">
              <w:rPr>
                <w:rFonts w:ascii="Calibri" w:hAnsi="Calibri"/>
                <w:b/>
                <w:color w:val="538135" w:themeColor="accent6" w:themeShade="BF"/>
                <w:sz w:val="20"/>
                <w:szCs w:val="20"/>
                <w:lang w:val="en-GB"/>
              </w:rPr>
              <w:t>capacity</w:t>
            </w:r>
            <w:r w:rsidRPr="004559FB">
              <w:rPr>
                <w:rFonts w:ascii="Calibri" w:hAnsi="Calibri"/>
                <w:sz w:val="20"/>
                <w:szCs w:val="20"/>
                <w:lang w:val="en-GB"/>
              </w:rPr>
              <w:t xml:space="preserve"> (i.e. posts) in subnational government.</w:t>
            </w:r>
            <w:r w:rsidRPr="004559FB">
              <w:rPr>
                <w:rFonts w:ascii="Calibri" w:hAnsi="Calibri"/>
                <w:b/>
                <w:color w:val="385623" w:themeColor="accent6" w:themeShade="80"/>
                <w:sz w:val="20"/>
                <w:szCs w:val="20"/>
                <w:lang w:val="en-GB"/>
              </w:rPr>
              <w:t xml:space="preserve"> </w:t>
            </w:r>
          </w:p>
          <w:p w14:paraId="6C5BA1AE" w14:textId="4EEACE44" w:rsidR="001809BE" w:rsidRPr="004559FB" w:rsidRDefault="001809BE" w:rsidP="003D6298">
            <w:pPr>
              <w:jc w:val="both"/>
              <w:rPr>
                <w:rFonts w:ascii="Calibri" w:hAnsi="Calibri"/>
                <w:sz w:val="20"/>
                <w:szCs w:val="20"/>
                <w:lang w:val="en-GB"/>
              </w:rPr>
            </w:pPr>
            <w:r>
              <w:rPr>
                <w:sz w:val="20"/>
                <w:szCs w:val="20"/>
                <w:lang w:val="en-GB"/>
              </w:rPr>
              <w:t>T</w:t>
            </w:r>
            <w:r w:rsidRPr="004559FB">
              <w:rPr>
                <w:sz w:val="20"/>
                <w:szCs w:val="20"/>
              </w:rPr>
              <w:t xml:space="preserve">he MDPAC M &amp; E team integrate risk into the </w:t>
            </w:r>
            <w:r w:rsidRPr="001809BE">
              <w:rPr>
                <w:sz w:val="20"/>
                <w:szCs w:val="20"/>
              </w:rPr>
              <w:t xml:space="preserve">M &amp; E framework </w:t>
            </w:r>
            <w:r w:rsidRPr="004559FB">
              <w:rPr>
                <w:sz w:val="20"/>
                <w:szCs w:val="20"/>
              </w:rPr>
              <w:t>for development projects.</w:t>
            </w:r>
          </w:p>
        </w:tc>
      </w:tr>
      <w:tr w:rsidR="00C370CC" w14:paraId="0FFB8507" w14:textId="77777777" w:rsidTr="00450F5B">
        <w:trPr>
          <w:trHeight w:val="1104"/>
        </w:trPr>
        <w:tc>
          <w:tcPr>
            <w:tcW w:w="1838" w:type="dxa"/>
            <w:shd w:val="clear" w:color="auto" w:fill="4472C4"/>
          </w:tcPr>
          <w:p w14:paraId="08E9B912" w14:textId="77777777" w:rsidR="00C370CC" w:rsidRPr="00257D3A" w:rsidRDefault="00C370CC" w:rsidP="00450F5B">
            <w:pPr>
              <w:rPr>
                <w:b/>
              </w:rPr>
            </w:pPr>
            <w:r w:rsidRPr="008D61BF">
              <w:rPr>
                <w:b/>
                <w:color w:val="FFFFFF" w:themeColor="background1"/>
              </w:rPr>
              <w:t>POLICY</w:t>
            </w:r>
          </w:p>
        </w:tc>
        <w:tc>
          <w:tcPr>
            <w:tcW w:w="7938" w:type="dxa"/>
          </w:tcPr>
          <w:p w14:paraId="096D8D4E" w14:textId="4467729E" w:rsidR="003D6298" w:rsidRPr="001809BE" w:rsidRDefault="003D6298" w:rsidP="001809BE">
            <w:pPr>
              <w:jc w:val="both"/>
              <w:rPr>
                <w:rFonts w:ascii="Calibri" w:hAnsi="Calibri"/>
                <w:b/>
                <w:sz w:val="20"/>
                <w:szCs w:val="20"/>
                <w:lang w:val="en-GB"/>
              </w:rPr>
            </w:pPr>
            <w:r w:rsidRPr="004559FB">
              <w:rPr>
                <w:rFonts w:ascii="Calibri" w:hAnsi="Calibri"/>
                <w:sz w:val="20"/>
                <w:szCs w:val="20"/>
                <w:lang w:val="en-GB"/>
              </w:rPr>
              <w:t xml:space="preserve">This has supported the mainstreaming of risk into the </w:t>
            </w:r>
            <w:r w:rsidRPr="004559FB">
              <w:rPr>
                <w:rFonts w:ascii="Calibri" w:hAnsi="Calibri"/>
                <w:b/>
                <w:color w:val="5B9BD5" w:themeColor="accent1"/>
                <w:sz w:val="20"/>
                <w:szCs w:val="20"/>
                <w:lang w:val="en-GB"/>
              </w:rPr>
              <w:t>National Development</w:t>
            </w:r>
            <w:r w:rsidRPr="004559FB">
              <w:rPr>
                <w:rFonts w:ascii="Calibri" w:hAnsi="Calibri"/>
                <w:color w:val="5B9BD5" w:themeColor="accent1"/>
                <w:sz w:val="20"/>
                <w:szCs w:val="20"/>
                <w:lang w:val="en-GB"/>
              </w:rPr>
              <w:t xml:space="preserve"> </w:t>
            </w:r>
            <w:r w:rsidRPr="004559FB">
              <w:rPr>
                <w:rFonts w:ascii="Calibri" w:hAnsi="Calibri"/>
                <w:b/>
                <w:color w:val="5B9BD5" w:themeColor="accent1"/>
                <w:sz w:val="20"/>
                <w:szCs w:val="20"/>
                <w:lang w:val="en-GB"/>
              </w:rPr>
              <w:t>Strategy</w:t>
            </w:r>
            <w:r w:rsidRPr="004559FB">
              <w:rPr>
                <w:rFonts w:ascii="Calibri" w:hAnsi="Calibri"/>
                <w:color w:val="5B9BD5" w:themeColor="accent1"/>
                <w:sz w:val="20"/>
                <w:szCs w:val="20"/>
                <w:lang w:val="en-GB"/>
              </w:rPr>
              <w:t xml:space="preserve"> </w:t>
            </w:r>
            <w:r w:rsidRPr="004559FB">
              <w:rPr>
                <w:rFonts w:ascii="Calibri" w:hAnsi="Calibri"/>
                <w:sz w:val="20"/>
                <w:szCs w:val="20"/>
                <w:lang w:val="en-GB"/>
              </w:rPr>
              <w:t>(2016-30), which now includes Objective 4 “</w:t>
            </w:r>
            <w:r w:rsidRPr="004559FB">
              <w:rPr>
                <w:rFonts w:ascii="Calibri" w:hAnsi="Calibri"/>
                <w:i/>
                <w:sz w:val="20"/>
                <w:szCs w:val="20"/>
                <w:lang w:val="en-GB"/>
              </w:rPr>
              <w:t>resilient and environmentally sustainable development</w:t>
            </w:r>
            <w:r w:rsidRPr="004559FB">
              <w:rPr>
                <w:rFonts w:ascii="Calibri" w:hAnsi="Calibri"/>
                <w:sz w:val="20"/>
                <w:szCs w:val="20"/>
                <w:lang w:val="en-GB"/>
              </w:rPr>
              <w:t xml:space="preserve">,” the national </w:t>
            </w:r>
            <w:r w:rsidRPr="004559FB">
              <w:rPr>
                <w:rFonts w:ascii="Calibri" w:hAnsi="Calibri"/>
                <w:b/>
                <w:color w:val="5B9BD5" w:themeColor="accent1"/>
                <w:sz w:val="20"/>
                <w:szCs w:val="20"/>
                <w:lang w:val="en-GB"/>
              </w:rPr>
              <w:t>Medium Term Development</w:t>
            </w:r>
            <w:r w:rsidRPr="004559FB">
              <w:rPr>
                <w:rFonts w:ascii="Calibri" w:hAnsi="Calibri"/>
                <w:color w:val="5B9BD5" w:themeColor="accent1"/>
                <w:sz w:val="20"/>
                <w:szCs w:val="20"/>
                <w:lang w:val="en-GB"/>
              </w:rPr>
              <w:t xml:space="preserve"> </w:t>
            </w:r>
            <w:r w:rsidRPr="004559FB">
              <w:rPr>
                <w:rFonts w:ascii="Calibri" w:hAnsi="Calibri"/>
                <w:b/>
                <w:color w:val="5B9BD5" w:themeColor="accent1"/>
                <w:sz w:val="20"/>
                <w:szCs w:val="20"/>
                <w:lang w:val="en-GB"/>
              </w:rPr>
              <w:t xml:space="preserve">Plan </w:t>
            </w:r>
            <w:r w:rsidR="004559FB" w:rsidRPr="004559FB">
              <w:rPr>
                <w:rFonts w:ascii="Calibri" w:hAnsi="Calibri"/>
                <w:sz w:val="20"/>
                <w:szCs w:val="20"/>
                <w:lang w:val="en-GB"/>
              </w:rPr>
              <w:t>and</w:t>
            </w:r>
            <w:r w:rsidRPr="004559FB">
              <w:rPr>
                <w:rFonts w:ascii="Calibri" w:hAnsi="Calibri"/>
                <w:sz w:val="20"/>
                <w:szCs w:val="20"/>
                <w:lang w:val="en-GB"/>
              </w:rPr>
              <w:t xml:space="preserve"> sector policies and plans, for example </w:t>
            </w:r>
            <w:r w:rsidRPr="004559FB">
              <w:rPr>
                <w:rFonts w:ascii="Calibri" w:hAnsi="Calibri"/>
                <w:color w:val="000000" w:themeColor="text1"/>
                <w:sz w:val="20"/>
                <w:szCs w:val="20"/>
                <w:lang w:val="en-GB"/>
              </w:rPr>
              <w:t>the</w:t>
            </w:r>
            <w:r w:rsidRPr="004559FB">
              <w:rPr>
                <w:rFonts w:ascii="Calibri" w:hAnsi="Calibri"/>
                <w:b/>
                <w:color w:val="5B9BD5" w:themeColor="accent1"/>
                <w:sz w:val="20"/>
                <w:szCs w:val="20"/>
                <w:lang w:val="en-GB"/>
              </w:rPr>
              <w:t xml:space="preserve"> Agricultural Sector Policy </w:t>
            </w:r>
            <w:r w:rsidRPr="004559FB">
              <w:rPr>
                <w:rFonts w:ascii="Calibri" w:hAnsi="Calibri"/>
                <w:sz w:val="20"/>
                <w:szCs w:val="20"/>
                <w:lang w:val="en-GB"/>
              </w:rPr>
              <w:t xml:space="preserve">(2015-19) and </w:t>
            </w:r>
            <w:r w:rsidRPr="004559FB">
              <w:rPr>
                <w:rFonts w:ascii="Calibri" w:hAnsi="Calibri"/>
                <w:b/>
                <w:sz w:val="20"/>
                <w:szCs w:val="20"/>
                <w:lang w:val="en-GB"/>
              </w:rPr>
              <w:t>Corporate Plan</w:t>
            </w:r>
            <w:r w:rsidR="004559FB" w:rsidRPr="004559FB">
              <w:rPr>
                <w:rFonts w:ascii="Calibri" w:hAnsi="Calibri"/>
                <w:b/>
                <w:sz w:val="20"/>
                <w:szCs w:val="20"/>
                <w:lang w:val="en-GB"/>
              </w:rPr>
              <w:t>,</w:t>
            </w:r>
            <w:r w:rsidRPr="004559FB">
              <w:rPr>
                <w:rFonts w:ascii="Calibri" w:hAnsi="Calibri"/>
                <w:sz w:val="20"/>
                <w:szCs w:val="20"/>
                <w:lang w:val="en-GB"/>
              </w:rPr>
              <w:t xml:space="preserve"> the</w:t>
            </w:r>
            <w:r w:rsidRPr="004559FB">
              <w:rPr>
                <w:rFonts w:ascii="Calibri" w:hAnsi="Calibri"/>
                <w:b/>
                <w:sz w:val="20"/>
                <w:szCs w:val="20"/>
                <w:lang w:val="en-GB"/>
              </w:rPr>
              <w:t xml:space="preserve"> </w:t>
            </w:r>
            <w:r w:rsidRPr="004559FB">
              <w:rPr>
                <w:rFonts w:ascii="Calibri" w:hAnsi="Calibri"/>
                <w:b/>
                <w:color w:val="5B9BD5" w:themeColor="accent1"/>
                <w:sz w:val="20"/>
                <w:szCs w:val="20"/>
                <w:lang w:val="en-GB"/>
              </w:rPr>
              <w:t>Education Strategic Framework</w:t>
            </w:r>
            <w:r w:rsidRPr="004559FB">
              <w:rPr>
                <w:rFonts w:ascii="Calibri" w:hAnsi="Calibri"/>
                <w:color w:val="5B9BD5" w:themeColor="accent1"/>
                <w:sz w:val="20"/>
                <w:szCs w:val="20"/>
                <w:lang w:val="en-GB"/>
              </w:rPr>
              <w:t xml:space="preserve"> </w:t>
            </w:r>
            <w:r w:rsidRPr="004559FB">
              <w:rPr>
                <w:rFonts w:ascii="Calibri" w:hAnsi="Calibri"/>
                <w:sz w:val="20"/>
                <w:szCs w:val="20"/>
                <w:lang w:val="en-GB"/>
              </w:rPr>
              <w:t xml:space="preserve">(2016-30) and the </w:t>
            </w:r>
            <w:r w:rsidRPr="004559FB">
              <w:rPr>
                <w:rFonts w:ascii="Calibri" w:hAnsi="Calibri"/>
                <w:b/>
                <w:color w:val="5B9BD5" w:themeColor="accent1"/>
                <w:sz w:val="20"/>
                <w:szCs w:val="20"/>
                <w:lang w:val="en-GB"/>
              </w:rPr>
              <w:t>National Education Action</w:t>
            </w:r>
            <w:r w:rsidRPr="004559FB">
              <w:rPr>
                <w:rFonts w:ascii="Calibri" w:hAnsi="Calibri"/>
                <w:color w:val="5B9BD5" w:themeColor="accent1"/>
                <w:sz w:val="20"/>
                <w:szCs w:val="20"/>
                <w:lang w:val="en-GB"/>
              </w:rPr>
              <w:t xml:space="preserve"> </w:t>
            </w:r>
            <w:r w:rsidRPr="004559FB">
              <w:rPr>
                <w:rFonts w:ascii="Calibri" w:hAnsi="Calibri"/>
                <w:b/>
                <w:color w:val="5B9BD5" w:themeColor="accent1"/>
                <w:sz w:val="20"/>
                <w:szCs w:val="20"/>
                <w:lang w:val="en-GB"/>
              </w:rPr>
              <w:t>Plan</w:t>
            </w:r>
            <w:r w:rsidRPr="004559FB">
              <w:rPr>
                <w:rFonts w:ascii="Calibri" w:hAnsi="Calibri"/>
                <w:color w:val="5B9BD5" w:themeColor="accent1"/>
                <w:sz w:val="20"/>
                <w:szCs w:val="20"/>
                <w:lang w:val="en-GB"/>
              </w:rPr>
              <w:t xml:space="preserve"> </w:t>
            </w:r>
            <w:r w:rsidRPr="004559FB">
              <w:rPr>
                <w:rFonts w:ascii="Calibri" w:hAnsi="Calibri"/>
                <w:sz w:val="20"/>
                <w:szCs w:val="20"/>
                <w:lang w:val="en-GB"/>
              </w:rPr>
              <w:t>(2016-20).</w:t>
            </w:r>
            <w:r w:rsidR="001809BE">
              <w:rPr>
                <w:rFonts w:ascii="Calibri" w:hAnsi="Calibri"/>
                <w:b/>
                <w:sz w:val="20"/>
                <w:szCs w:val="20"/>
                <w:lang w:val="en-GB"/>
              </w:rPr>
              <w:t xml:space="preserve"> </w:t>
            </w:r>
            <w:r w:rsidRPr="004559FB">
              <w:rPr>
                <w:sz w:val="20"/>
                <w:szCs w:val="20"/>
              </w:rPr>
              <w:t xml:space="preserve">Finally, climate change and disaster risk issues as well as GSI issues have been incorporated into the Draft </w:t>
            </w:r>
            <w:r w:rsidRPr="004559FB">
              <w:rPr>
                <w:b/>
                <w:color w:val="5B9BD5" w:themeColor="accent1"/>
                <w:sz w:val="20"/>
                <w:szCs w:val="20"/>
              </w:rPr>
              <w:t>Environment Act.</w:t>
            </w:r>
          </w:p>
        </w:tc>
      </w:tr>
      <w:tr w:rsidR="00C370CC" w14:paraId="600FEA04" w14:textId="77777777" w:rsidTr="000514E4">
        <w:trPr>
          <w:trHeight w:val="1054"/>
        </w:trPr>
        <w:tc>
          <w:tcPr>
            <w:tcW w:w="1838" w:type="dxa"/>
            <w:shd w:val="clear" w:color="auto" w:fill="660066"/>
          </w:tcPr>
          <w:p w14:paraId="66D9C05E" w14:textId="77777777" w:rsidR="00C370CC" w:rsidRDefault="00C370CC" w:rsidP="00450F5B">
            <w:pPr>
              <w:rPr>
                <w:b/>
              </w:rPr>
            </w:pPr>
          </w:p>
          <w:p w14:paraId="4AB5CB69" w14:textId="77777777" w:rsidR="00C370CC" w:rsidRDefault="00C370CC" w:rsidP="00450F5B">
            <w:pPr>
              <w:rPr>
                <w:b/>
              </w:rPr>
            </w:pPr>
            <w:r>
              <w:rPr>
                <w:b/>
              </w:rPr>
              <w:t>FINANCE</w:t>
            </w:r>
          </w:p>
          <w:p w14:paraId="5DD8FDC1" w14:textId="2316E167" w:rsidR="00C370CC" w:rsidRDefault="00C370CC" w:rsidP="00450F5B">
            <w:pPr>
              <w:rPr>
                <w:b/>
              </w:rPr>
            </w:pPr>
          </w:p>
          <w:p w14:paraId="688BB04D" w14:textId="77777777" w:rsidR="00C370CC" w:rsidRDefault="00C370CC" w:rsidP="00450F5B">
            <w:pPr>
              <w:rPr>
                <w:b/>
              </w:rPr>
            </w:pPr>
          </w:p>
        </w:tc>
        <w:tc>
          <w:tcPr>
            <w:tcW w:w="7938" w:type="dxa"/>
          </w:tcPr>
          <w:p w14:paraId="51F755FC" w14:textId="0D7436B2" w:rsidR="00C370CC" w:rsidRPr="004559FB" w:rsidRDefault="003D6298" w:rsidP="001809BE">
            <w:pPr>
              <w:ind w:right="118"/>
              <w:jc w:val="both"/>
              <w:rPr>
                <w:rFonts w:ascii="Calibri" w:hAnsi="Calibri"/>
                <w:sz w:val="20"/>
                <w:szCs w:val="20"/>
                <w:lang w:val="en-GB"/>
              </w:rPr>
            </w:pPr>
            <w:r w:rsidRPr="004559FB">
              <w:rPr>
                <w:sz w:val="20"/>
                <w:szCs w:val="20"/>
                <w:lang w:val="en-GB"/>
              </w:rPr>
              <w:t xml:space="preserve">The new RRD Director is also </w:t>
            </w:r>
            <w:r w:rsidRPr="004559FB">
              <w:rPr>
                <w:sz w:val="20"/>
                <w:szCs w:val="20"/>
              </w:rPr>
              <w:t xml:space="preserve">working with the MDPAC Standards Committee to integrate risk into </w:t>
            </w:r>
            <w:r w:rsidR="004559FB" w:rsidRPr="004559FB">
              <w:rPr>
                <w:sz w:val="20"/>
                <w:szCs w:val="20"/>
              </w:rPr>
              <w:t xml:space="preserve">project </w:t>
            </w:r>
            <w:r w:rsidRPr="004559FB">
              <w:rPr>
                <w:sz w:val="20"/>
                <w:szCs w:val="20"/>
              </w:rPr>
              <w:t>review tool</w:t>
            </w:r>
            <w:r w:rsidR="004559FB" w:rsidRPr="004559FB">
              <w:rPr>
                <w:sz w:val="20"/>
                <w:szCs w:val="20"/>
              </w:rPr>
              <w:t>s</w:t>
            </w:r>
            <w:r w:rsidRPr="004559FB">
              <w:rPr>
                <w:b/>
                <w:sz w:val="20"/>
                <w:szCs w:val="20"/>
              </w:rPr>
              <w:t xml:space="preserve"> </w:t>
            </w:r>
            <w:r w:rsidRPr="004559FB">
              <w:rPr>
                <w:sz w:val="20"/>
                <w:szCs w:val="20"/>
              </w:rPr>
              <w:t>to ensure risk is incorporated into budget allocations</w:t>
            </w:r>
            <w:r w:rsidR="001809BE">
              <w:rPr>
                <w:sz w:val="20"/>
                <w:szCs w:val="20"/>
              </w:rPr>
              <w:t xml:space="preserve">. </w:t>
            </w:r>
            <w:r w:rsidRPr="004559FB">
              <w:rPr>
                <w:sz w:val="20"/>
                <w:szCs w:val="20"/>
              </w:rPr>
              <w:t xml:space="preserve"> </w:t>
            </w:r>
          </w:p>
        </w:tc>
      </w:tr>
      <w:tr w:rsidR="00C370CC" w14:paraId="69887E5C" w14:textId="77777777" w:rsidTr="000514E4">
        <w:trPr>
          <w:trHeight w:val="564"/>
        </w:trPr>
        <w:tc>
          <w:tcPr>
            <w:tcW w:w="1838" w:type="dxa"/>
            <w:shd w:val="clear" w:color="auto" w:fill="A50021"/>
          </w:tcPr>
          <w:p w14:paraId="3130836A" w14:textId="77777777" w:rsidR="00C370CC" w:rsidRDefault="00C370CC" w:rsidP="00450F5B">
            <w:pPr>
              <w:rPr>
                <w:b/>
                <w:color w:val="FFFFFF" w:themeColor="background1"/>
              </w:rPr>
            </w:pPr>
            <w:r>
              <w:rPr>
                <w:b/>
                <w:color w:val="FFFFFF" w:themeColor="background1"/>
              </w:rPr>
              <w:t>ORGANISATION</w:t>
            </w:r>
          </w:p>
          <w:p w14:paraId="2D2E4D0E" w14:textId="77777777" w:rsidR="00C370CC" w:rsidRDefault="00C370CC" w:rsidP="00450F5B">
            <w:pPr>
              <w:rPr>
                <w:b/>
                <w:color w:val="FFFFFF" w:themeColor="background1"/>
              </w:rPr>
            </w:pPr>
          </w:p>
          <w:p w14:paraId="644ED9DE" w14:textId="0E891124" w:rsidR="00C370CC" w:rsidRDefault="00C370CC" w:rsidP="00450F5B">
            <w:pPr>
              <w:rPr>
                <w:b/>
                <w:color w:val="FFFFFF" w:themeColor="background1"/>
              </w:rPr>
            </w:pPr>
          </w:p>
        </w:tc>
        <w:tc>
          <w:tcPr>
            <w:tcW w:w="7938" w:type="dxa"/>
            <w:shd w:val="clear" w:color="auto" w:fill="FFFFFF" w:themeFill="background1"/>
          </w:tcPr>
          <w:p w14:paraId="1FE90A1C" w14:textId="4DDCF0AA" w:rsidR="000514E4" w:rsidRPr="004559FB" w:rsidRDefault="003D6298" w:rsidP="00EB0399">
            <w:pPr>
              <w:ind w:right="118"/>
              <w:jc w:val="both"/>
              <w:rPr>
                <w:rFonts w:ascii="Calibri" w:hAnsi="Calibri"/>
                <w:b/>
                <w:color w:val="C00000"/>
                <w:sz w:val="20"/>
                <w:szCs w:val="20"/>
                <w:lang w:val="en-GB"/>
              </w:rPr>
            </w:pPr>
            <w:r w:rsidRPr="004559FB">
              <w:rPr>
                <w:rFonts w:ascii="Calibri" w:hAnsi="Calibri"/>
                <w:b/>
                <w:color w:val="C00000"/>
                <w:sz w:val="20"/>
                <w:szCs w:val="20"/>
                <w:lang w:val="en-GB"/>
              </w:rPr>
              <w:t>Capacity development</w:t>
            </w:r>
            <w:r w:rsidRPr="004559FB">
              <w:rPr>
                <w:rFonts w:ascii="Calibri" w:hAnsi="Calibri"/>
                <w:color w:val="C00000"/>
                <w:sz w:val="20"/>
                <w:szCs w:val="20"/>
                <w:lang w:val="en-GB"/>
              </w:rPr>
              <w:t xml:space="preserve"> </w:t>
            </w:r>
            <w:r w:rsidRPr="004559FB">
              <w:rPr>
                <w:rFonts w:ascii="Calibri" w:hAnsi="Calibri"/>
                <w:sz w:val="20"/>
                <w:szCs w:val="20"/>
                <w:lang w:val="en-GB"/>
              </w:rPr>
              <w:t>within the Ministry of Development Planning and Aid Coordination (MDPAC) and key sectors (e.g. the Ministries for agriculture and education) through ongoing training and most importantly the creation of new Risk Resilient Development Director posts, provided in-house capacity and focal points to lead mainstreaming.</w:t>
            </w:r>
          </w:p>
          <w:p w14:paraId="497E2761" w14:textId="77777777" w:rsidR="003D6298" w:rsidRDefault="004559FB" w:rsidP="004559FB">
            <w:pPr>
              <w:ind w:right="118"/>
              <w:jc w:val="both"/>
              <w:rPr>
                <w:color w:val="C00000"/>
                <w:sz w:val="20"/>
                <w:szCs w:val="20"/>
                <w:lang w:val="en-GB"/>
              </w:rPr>
            </w:pPr>
            <w:r w:rsidRPr="004559FB">
              <w:rPr>
                <w:rFonts w:ascii="Calibri" w:hAnsi="Calibri"/>
                <w:sz w:val="20"/>
                <w:szCs w:val="20"/>
                <w:lang w:val="en-GB"/>
              </w:rPr>
              <w:t>Strengthening l</w:t>
            </w:r>
            <w:r w:rsidR="003D6298" w:rsidRPr="004559FB">
              <w:rPr>
                <w:rFonts w:ascii="Calibri" w:hAnsi="Calibri"/>
                <w:sz w:val="20"/>
                <w:szCs w:val="20"/>
                <w:lang w:val="en-GB"/>
              </w:rPr>
              <w:t xml:space="preserve">eadership, knowledge, capacity and a policy/planning framework has given momentum for MDPAC to incorporate risk into national project planning and programming </w:t>
            </w:r>
            <w:r w:rsidR="003D6298" w:rsidRPr="004559FB">
              <w:rPr>
                <w:rFonts w:ascii="Calibri" w:hAnsi="Calibri"/>
                <w:b/>
                <w:color w:val="C00000"/>
                <w:sz w:val="20"/>
                <w:szCs w:val="20"/>
                <w:lang w:val="en-GB"/>
              </w:rPr>
              <w:t xml:space="preserve">process, procedures and tools </w:t>
            </w:r>
            <w:r w:rsidR="003D6298" w:rsidRPr="004559FB">
              <w:rPr>
                <w:rFonts w:ascii="Calibri" w:hAnsi="Calibri"/>
                <w:sz w:val="20"/>
                <w:szCs w:val="20"/>
                <w:lang w:val="en-GB"/>
              </w:rPr>
              <w:t xml:space="preserve">led by MDPAC.  Although in 2014 the appraisal template for new project proposals was updated to incorporate climate and disaster risk, it has taken time to development supporting tools and </w:t>
            </w:r>
            <w:r w:rsidRPr="004559FB">
              <w:rPr>
                <w:rFonts w:ascii="Calibri" w:hAnsi="Calibri"/>
                <w:sz w:val="20"/>
                <w:szCs w:val="20"/>
                <w:lang w:val="en-GB"/>
              </w:rPr>
              <w:t>capacity</w:t>
            </w:r>
            <w:r w:rsidR="003D6298" w:rsidRPr="004559FB">
              <w:rPr>
                <w:rFonts w:ascii="Calibri" w:hAnsi="Calibri"/>
                <w:sz w:val="20"/>
                <w:szCs w:val="20"/>
                <w:lang w:val="en-GB"/>
              </w:rPr>
              <w:t xml:space="preserve"> to fully integrate risk into the project planning process.  </w:t>
            </w:r>
            <w:r w:rsidRPr="004559FB">
              <w:rPr>
                <w:rFonts w:ascii="Calibri" w:hAnsi="Calibri"/>
                <w:sz w:val="20"/>
                <w:szCs w:val="20"/>
                <w:lang w:val="en-GB"/>
              </w:rPr>
              <w:t>MDPAC</w:t>
            </w:r>
            <w:r w:rsidR="003D6298" w:rsidRPr="004559FB">
              <w:rPr>
                <w:rFonts w:ascii="Calibri" w:hAnsi="Calibri"/>
                <w:sz w:val="20"/>
                <w:szCs w:val="20"/>
                <w:lang w:val="en-GB"/>
              </w:rPr>
              <w:t xml:space="preserve"> are currently rolling out a risk screening tool (and guidelines</w:t>
            </w:r>
            <w:r w:rsidR="003D6298" w:rsidRPr="004559FB">
              <w:rPr>
                <w:rStyle w:val="FootnoteReference"/>
                <w:rFonts w:ascii="Calibri" w:hAnsi="Calibri"/>
                <w:sz w:val="20"/>
                <w:szCs w:val="20"/>
                <w:lang w:val="en-GB"/>
              </w:rPr>
              <w:footnoteReference w:id="14"/>
            </w:r>
            <w:r w:rsidR="003D6298" w:rsidRPr="004559FB">
              <w:rPr>
                <w:rFonts w:ascii="Calibri" w:hAnsi="Calibri"/>
                <w:sz w:val="20"/>
                <w:szCs w:val="20"/>
                <w:lang w:val="en-GB"/>
              </w:rPr>
              <w:t>) accompanied by training to sector planners (as part of MTDP training) to risk inform development project site selection, design and implementation.</w:t>
            </w:r>
            <w:r w:rsidR="003D6298" w:rsidRPr="004559FB">
              <w:rPr>
                <w:color w:val="C00000"/>
                <w:sz w:val="20"/>
                <w:szCs w:val="20"/>
                <w:lang w:val="en-GB"/>
              </w:rPr>
              <w:t xml:space="preserve"> </w:t>
            </w:r>
          </w:p>
          <w:p w14:paraId="4008F3F0" w14:textId="5C534F17" w:rsidR="001809BE" w:rsidRPr="004559FB" w:rsidRDefault="001809BE" w:rsidP="001809BE">
            <w:pPr>
              <w:ind w:right="118"/>
              <w:jc w:val="both"/>
              <w:rPr>
                <w:rFonts w:ascii="Calibri" w:hAnsi="Calibri"/>
                <w:sz w:val="20"/>
                <w:szCs w:val="20"/>
                <w:lang w:val="en-GB"/>
              </w:rPr>
            </w:pPr>
            <w:r w:rsidRPr="004559FB">
              <w:rPr>
                <w:rFonts w:ascii="Calibri" w:hAnsi="Calibri"/>
                <w:sz w:val="20"/>
                <w:szCs w:val="20"/>
                <w:lang w:val="en-GB"/>
              </w:rPr>
              <w:t xml:space="preserve">In terms of </w:t>
            </w:r>
            <w:r w:rsidRPr="001809BE">
              <w:rPr>
                <w:rFonts w:ascii="Calibri" w:hAnsi="Calibri"/>
                <w:b/>
                <w:color w:val="C00000"/>
                <w:sz w:val="20"/>
                <w:szCs w:val="20"/>
                <w:lang w:val="en-GB"/>
              </w:rPr>
              <w:t>coordination</w:t>
            </w:r>
            <w:r w:rsidRPr="004559FB">
              <w:rPr>
                <w:rFonts w:ascii="Calibri" w:hAnsi="Calibri"/>
                <w:sz w:val="20"/>
                <w:szCs w:val="20"/>
                <w:lang w:val="en-GB"/>
              </w:rPr>
              <w:t>, PRRP helped develop a Recovery Coordination Committee (RCC) to support more resilient and coordinated recovery and reconstruction posts disasters (led by MDPAC) and to link recovery with ongoing risk informed development planning.  Initially a</w:t>
            </w:r>
            <w:r w:rsidRPr="004559FB">
              <w:rPr>
                <w:rFonts w:cs="Times New Roman"/>
                <w:sz w:val="20"/>
                <w:szCs w:val="20"/>
              </w:rPr>
              <w:t xml:space="preserve"> Risk Resilient Development (RRD) </w:t>
            </w:r>
            <w:r w:rsidRPr="001809BE">
              <w:rPr>
                <w:rFonts w:cs="Times New Roman"/>
                <w:sz w:val="20"/>
                <w:szCs w:val="20"/>
              </w:rPr>
              <w:t xml:space="preserve">working group was </w:t>
            </w:r>
            <w:r w:rsidRPr="004559FB">
              <w:rPr>
                <w:rFonts w:cs="Times New Roman"/>
                <w:sz w:val="20"/>
                <w:szCs w:val="20"/>
              </w:rPr>
              <w:t>established as an internal MDPAC forum in early 2014 to discuss the relevance of risk to planners.  Gradually this was extended to specialists from MECDM and eventually RRD focal points from other sectors.  The group prepared an Action Plan for Resilient Development, however, discussions are underway to elevate this to a higher-level RRD working group between Permanent Secretaries from each ministry</w:t>
            </w:r>
            <w:r>
              <w:rPr>
                <w:rFonts w:cs="Times New Roman"/>
                <w:sz w:val="20"/>
                <w:szCs w:val="20"/>
              </w:rPr>
              <w:t>.</w:t>
            </w:r>
            <w:r w:rsidRPr="004559FB">
              <w:rPr>
                <w:rFonts w:cs="Times New Roman"/>
                <w:sz w:val="20"/>
                <w:szCs w:val="20"/>
              </w:rPr>
              <w:t xml:space="preserve"> Other important coordination </w:t>
            </w:r>
            <w:r>
              <w:rPr>
                <w:rFonts w:cs="Times New Roman"/>
                <w:sz w:val="20"/>
                <w:szCs w:val="20"/>
              </w:rPr>
              <w:t>mechanisms</w:t>
            </w:r>
            <w:r w:rsidRPr="004559FB">
              <w:rPr>
                <w:rFonts w:cs="Times New Roman"/>
                <w:sz w:val="20"/>
                <w:szCs w:val="20"/>
              </w:rPr>
              <w:t xml:space="preserve"> that have been established are the GIS user group to </w:t>
            </w:r>
            <w:r w:rsidRPr="004559FB">
              <w:rPr>
                <w:sz w:val="20"/>
                <w:szCs w:val="20"/>
              </w:rPr>
              <w:t>promote the sharing of releva</w:t>
            </w:r>
            <w:r>
              <w:rPr>
                <w:sz w:val="20"/>
                <w:szCs w:val="20"/>
              </w:rPr>
              <w:t>nt data and risk information.</w:t>
            </w:r>
          </w:p>
        </w:tc>
      </w:tr>
      <w:tr w:rsidR="00C370CC" w14:paraId="2552374E" w14:textId="77777777" w:rsidTr="00450F5B">
        <w:trPr>
          <w:trHeight w:val="1286"/>
        </w:trPr>
        <w:tc>
          <w:tcPr>
            <w:tcW w:w="1838" w:type="dxa"/>
            <w:shd w:val="clear" w:color="auto" w:fill="FFC000" w:themeFill="accent4"/>
          </w:tcPr>
          <w:p w14:paraId="5862813D" w14:textId="77777777" w:rsidR="00C370CC" w:rsidRDefault="00C370CC" w:rsidP="00450F5B">
            <w:pPr>
              <w:rPr>
                <w:b/>
                <w:color w:val="FFFFFF" w:themeColor="background1"/>
              </w:rPr>
            </w:pPr>
            <w:r w:rsidRPr="00C76812">
              <w:rPr>
                <w:b/>
                <w:color w:val="FFFFFF" w:themeColor="background1"/>
              </w:rPr>
              <w:t>STAKEHOLDERS</w:t>
            </w:r>
          </w:p>
          <w:p w14:paraId="5604E88F" w14:textId="77777777" w:rsidR="00C370CC" w:rsidRPr="00610032" w:rsidRDefault="00C370CC" w:rsidP="00450F5B">
            <w:pPr>
              <w:spacing w:after="160" w:line="259" w:lineRule="auto"/>
              <w:rPr>
                <w:b/>
                <w:color w:val="FFFFFF" w:themeColor="background1"/>
              </w:rPr>
            </w:pPr>
          </w:p>
        </w:tc>
        <w:tc>
          <w:tcPr>
            <w:tcW w:w="7938" w:type="dxa"/>
            <w:shd w:val="clear" w:color="auto" w:fill="FFFFFF" w:themeFill="background1"/>
          </w:tcPr>
          <w:p w14:paraId="155AA944" w14:textId="4FA4F74E" w:rsidR="00C370CC" w:rsidRPr="004559FB" w:rsidRDefault="001809BE" w:rsidP="001809BE">
            <w:pPr>
              <w:jc w:val="both"/>
              <w:rPr>
                <w:b/>
                <w:color w:val="FFC000" w:themeColor="accent4"/>
                <w:sz w:val="20"/>
                <w:szCs w:val="20"/>
              </w:rPr>
            </w:pPr>
            <w:r>
              <w:rPr>
                <w:b/>
                <w:color w:val="FFC000" w:themeColor="accent4"/>
                <w:sz w:val="20"/>
                <w:szCs w:val="20"/>
              </w:rPr>
              <w:t>C</w:t>
            </w:r>
            <w:r w:rsidR="003D6298" w:rsidRPr="004559FB">
              <w:rPr>
                <w:b/>
                <w:color w:val="FFC000" w:themeColor="accent4"/>
                <w:sz w:val="20"/>
                <w:szCs w:val="20"/>
              </w:rPr>
              <w:t>ommunity networks</w:t>
            </w:r>
            <w:r w:rsidR="003D6298" w:rsidRPr="004559FB">
              <w:rPr>
                <w:color w:val="FFC000" w:themeColor="accent4"/>
                <w:sz w:val="20"/>
                <w:szCs w:val="20"/>
              </w:rPr>
              <w:t xml:space="preserve"> </w:t>
            </w:r>
            <w:r w:rsidRPr="001809BE">
              <w:rPr>
                <w:sz w:val="20"/>
                <w:szCs w:val="20"/>
              </w:rPr>
              <w:t xml:space="preserve">were initiated </w:t>
            </w:r>
            <w:r w:rsidR="003D6298" w:rsidRPr="004559FB">
              <w:rPr>
                <w:sz w:val="20"/>
                <w:szCs w:val="20"/>
              </w:rPr>
              <w:t xml:space="preserve">including community </w:t>
            </w:r>
            <w:r w:rsidR="003D6298" w:rsidRPr="004559FB">
              <w:rPr>
                <w:rFonts w:cs="Times New Roman"/>
                <w:b/>
                <w:color w:val="FFC000" w:themeColor="accent4"/>
                <w:sz w:val="20"/>
                <w:szCs w:val="20"/>
              </w:rPr>
              <w:t>knowledge hubs</w:t>
            </w:r>
            <w:r w:rsidR="003D6298" w:rsidRPr="004559FB">
              <w:rPr>
                <w:rFonts w:cs="Times New Roman"/>
                <w:color w:val="FFC000" w:themeColor="accent4"/>
                <w:sz w:val="20"/>
                <w:szCs w:val="20"/>
              </w:rPr>
              <w:t xml:space="preserve"> </w:t>
            </w:r>
            <w:r w:rsidR="003D6298" w:rsidRPr="004559FB">
              <w:rPr>
                <w:rFonts w:cs="Times New Roman"/>
                <w:sz w:val="20"/>
                <w:szCs w:val="20"/>
              </w:rPr>
              <w:t xml:space="preserve">to </w:t>
            </w:r>
            <w:r w:rsidR="003D6298" w:rsidRPr="004559FB">
              <w:rPr>
                <w:sz w:val="20"/>
                <w:szCs w:val="20"/>
              </w:rPr>
              <w:t xml:space="preserve">improve communication between farming communities and governments (including extension workers) and provide a platform for regular information exchange and training on </w:t>
            </w:r>
            <w:r w:rsidR="004559FB" w:rsidRPr="004559FB">
              <w:rPr>
                <w:sz w:val="20"/>
                <w:szCs w:val="20"/>
              </w:rPr>
              <w:t>n climate resilient crop varieties and resilient farming techniques</w:t>
            </w:r>
            <w:r w:rsidR="003D6298" w:rsidRPr="004559FB">
              <w:rPr>
                <w:sz w:val="20"/>
                <w:szCs w:val="20"/>
              </w:rPr>
              <w:t>. Finally,</w:t>
            </w:r>
            <w:r>
              <w:rPr>
                <w:sz w:val="20"/>
                <w:szCs w:val="20"/>
              </w:rPr>
              <w:t xml:space="preserve"> in terms of private sectors engagement,</w:t>
            </w:r>
            <w:r w:rsidR="003D6298" w:rsidRPr="004559FB">
              <w:rPr>
                <w:sz w:val="20"/>
                <w:szCs w:val="20"/>
              </w:rPr>
              <w:t xml:space="preserve"> efforts are under way to initiate a partnership with Digicel (a telecommunications provider) to support links with the NDMO.</w:t>
            </w:r>
            <w:r w:rsidR="003D6298" w:rsidRPr="004559FB">
              <w:rPr>
                <w:b/>
                <w:color w:val="FFC000" w:themeColor="accent4"/>
                <w:sz w:val="20"/>
                <w:szCs w:val="20"/>
              </w:rPr>
              <w:t xml:space="preserve"> </w:t>
            </w:r>
          </w:p>
        </w:tc>
      </w:tr>
    </w:tbl>
    <w:p w14:paraId="6225CDDC" w14:textId="77777777" w:rsidR="00C370CC" w:rsidRDefault="00C370CC" w:rsidP="00C370CC">
      <w:pPr>
        <w:pStyle w:val="ListParagraph"/>
        <w:rPr>
          <w:rFonts w:asciiTheme="minorHAnsi" w:hAnsiTheme="minorHAnsi"/>
          <w:sz w:val="22"/>
        </w:rPr>
      </w:pPr>
    </w:p>
    <w:p w14:paraId="40A84EC1" w14:textId="20A61B49" w:rsidR="00C45FC4" w:rsidRPr="001809BE" w:rsidRDefault="00E935DD" w:rsidP="001809BE">
      <w:pPr>
        <w:pStyle w:val="Heading2"/>
        <w:rPr>
          <w:lang w:bidi="ar-SA"/>
        </w:rPr>
      </w:pPr>
      <w:bookmarkStart w:id="44" w:name="_Toc451948709"/>
      <w:r>
        <w:rPr>
          <w:lang w:bidi="ar-SA"/>
        </w:rPr>
        <w:t xml:space="preserve">Case study 2:  National Level Mainstreaming in </w:t>
      </w:r>
      <w:r w:rsidR="00EB0399">
        <w:rPr>
          <w:lang w:bidi="ar-SA"/>
        </w:rPr>
        <w:t>Mozambique</w:t>
      </w:r>
      <w:bookmarkEnd w:id="44"/>
      <w:r w:rsidR="00DF11A9">
        <w:rPr>
          <w:lang w:bidi="ar-SA"/>
        </w:rPr>
        <w:t xml:space="preserve"> </w:t>
      </w:r>
      <w:r w:rsidR="00DF11A9" w:rsidRPr="001456B1">
        <w:rPr>
          <w:rFonts w:asciiTheme="minorHAnsi" w:hAnsiTheme="minorHAnsi"/>
          <w:sz w:val="22"/>
          <w:highlight w:val="yellow"/>
        </w:rPr>
        <w:t xml:space="preserve">[to be </w:t>
      </w:r>
      <w:r w:rsidR="00DF11A9">
        <w:rPr>
          <w:rFonts w:asciiTheme="minorHAnsi" w:hAnsiTheme="minorHAnsi"/>
          <w:sz w:val="22"/>
          <w:highlight w:val="yellow"/>
        </w:rPr>
        <w:t>completed</w:t>
      </w:r>
      <w:r w:rsidR="00DF11A9" w:rsidRPr="001456B1">
        <w:rPr>
          <w:rFonts w:asciiTheme="minorHAnsi" w:hAnsiTheme="minorHAnsi"/>
          <w:sz w:val="22"/>
          <w:highlight w:val="yellow"/>
        </w:rPr>
        <w:t>].</w:t>
      </w:r>
    </w:p>
    <w:p w14:paraId="655FA56A" w14:textId="55BFEBC4" w:rsidR="00C45FC4" w:rsidRPr="001809BE" w:rsidRDefault="00C45FC4" w:rsidP="001809BE">
      <w:pPr>
        <w:pStyle w:val="Heading2"/>
        <w:rPr>
          <w:lang w:bidi="ar-SA"/>
        </w:rPr>
      </w:pPr>
      <w:bookmarkStart w:id="45" w:name="_Toc451948710"/>
      <w:r>
        <w:rPr>
          <w:lang w:bidi="ar-SA"/>
        </w:rPr>
        <w:t xml:space="preserve">Case study </w:t>
      </w:r>
      <w:r w:rsidR="00E935DD">
        <w:rPr>
          <w:lang w:bidi="ar-SA"/>
        </w:rPr>
        <w:t>3</w:t>
      </w:r>
      <w:r>
        <w:rPr>
          <w:lang w:bidi="ar-SA"/>
        </w:rPr>
        <w:t xml:space="preserve">:  </w:t>
      </w:r>
      <w:r w:rsidR="00EB0399">
        <w:rPr>
          <w:lang w:bidi="ar-SA"/>
        </w:rPr>
        <w:t xml:space="preserve"> Agriculture s</w:t>
      </w:r>
      <w:r w:rsidR="007B4C70">
        <w:rPr>
          <w:lang w:bidi="ar-SA"/>
        </w:rPr>
        <w:t>ector Mainstreaming in….</w:t>
      </w:r>
      <w:bookmarkEnd w:id="45"/>
      <w:r w:rsidR="00EB0399">
        <w:rPr>
          <w:lang w:bidi="ar-SA"/>
        </w:rPr>
        <w:t xml:space="preserve"> </w:t>
      </w:r>
      <w:r w:rsidR="001809BE">
        <w:rPr>
          <w:lang w:bidi="ar-SA"/>
        </w:rPr>
        <w:t>[</w:t>
      </w:r>
      <w:r w:rsidR="00DF11A9" w:rsidRPr="00CA600A">
        <w:rPr>
          <w:i/>
          <w:lang w:bidi="ar-SA"/>
        </w:rPr>
        <w:t>Examples</w:t>
      </w:r>
      <w:r w:rsidR="00CA600A" w:rsidRPr="00CA600A">
        <w:rPr>
          <w:i/>
          <w:lang w:bidi="ar-SA"/>
        </w:rPr>
        <w:t xml:space="preserve"> from</w:t>
      </w:r>
      <w:r w:rsidR="00CA600A">
        <w:rPr>
          <w:i/>
          <w:lang w:bidi="ar-SA"/>
        </w:rPr>
        <w:t xml:space="preserve"> Pakistan, Kenya, Philippines</w:t>
      </w:r>
      <w:r w:rsidR="001809BE">
        <w:rPr>
          <w:i/>
          <w:lang w:bidi="ar-SA"/>
        </w:rPr>
        <w:t>?</w:t>
      </w:r>
      <w:r w:rsidR="00CA600A">
        <w:rPr>
          <w:i/>
          <w:lang w:bidi="ar-SA"/>
        </w:rPr>
        <w:t>]</w:t>
      </w:r>
      <w:r w:rsidR="00CA600A" w:rsidRPr="00CA600A">
        <w:rPr>
          <w:i/>
          <w:lang w:bidi="ar-SA"/>
        </w:rPr>
        <w:t xml:space="preserve"> </w:t>
      </w:r>
      <w:r w:rsidR="00DF11A9" w:rsidRPr="001456B1">
        <w:rPr>
          <w:rFonts w:asciiTheme="minorHAnsi" w:hAnsiTheme="minorHAnsi"/>
          <w:sz w:val="22"/>
          <w:highlight w:val="yellow"/>
        </w:rPr>
        <w:t xml:space="preserve">[to be </w:t>
      </w:r>
      <w:r w:rsidR="00DF11A9">
        <w:rPr>
          <w:rFonts w:asciiTheme="minorHAnsi" w:hAnsiTheme="minorHAnsi"/>
          <w:sz w:val="22"/>
          <w:highlight w:val="yellow"/>
        </w:rPr>
        <w:t>completed</w:t>
      </w:r>
      <w:r w:rsidR="00DF11A9" w:rsidRPr="001456B1">
        <w:rPr>
          <w:rFonts w:asciiTheme="minorHAnsi" w:hAnsiTheme="minorHAnsi"/>
          <w:sz w:val="22"/>
          <w:highlight w:val="yellow"/>
        </w:rPr>
        <w:t>].</w:t>
      </w:r>
    </w:p>
    <w:p w14:paraId="60311359" w14:textId="55C019B8" w:rsidR="00C45FC4" w:rsidRDefault="00C45FC4" w:rsidP="00C45FC4">
      <w:pPr>
        <w:rPr>
          <w:lang w:bidi="ar-SA"/>
        </w:rPr>
      </w:pPr>
    </w:p>
    <w:p w14:paraId="2E6EB65B" w14:textId="6958C475" w:rsidR="00C45FC4" w:rsidRPr="001809BE" w:rsidRDefault="00E935DD" w:rsidP="001809BE">
      <w:pPr>
        <w:pStyle w:val="Heading2"/>
        <w:rPr>
          <w:lang w:bidi="ar-SA"/>
        </w:rPr>
      </w:pPr>
      <w:bookmarkStart w:id="46" w:name="_Toc451948711"/>
      <w:r>
        <w:rPr>
          <w:lang w:bidi="ar-SA"/>
        </w:rPr>
        <w:t xml:space="preserve">Case study 4:  </w:t>
      </w:r>
      <w:r w:rsidR="00EB0399">
        <w:rPr>
          <w:lang w:bidi="ar-SA"/>
        </w:rPr>
        <w:t xml:space="preserve">X </w:t>
      </w:r>
      <w:r>
        <w:rPr>
          <w:lang w:bidi="ar-SA"/>
        </w:rPr>
        <w:t>Sector Mainstreaming in</w:t>
      </w:r>
      <w:bookmarkEnd w:id="46"/>
      <w:r w:rsidR="001809BE">
        <w:rPr>
          <w:lang w:bidi="ar-SA"/>
        </w:rPr>
        <w:t>… [</w:t>
      </w:r>
      <w:r w:rsidR="008A7896">
        <w:rPr>
          <w:i/>
          <w:lang w:bidi="ar-SA"/>
        </w:rPr>
        <w:t>e.g. infrastructure – Zimbabwe?</w:t>
      </w:r>
      <w:r w:rsidR="00DF7C6E">
        <w:rPr>
          <w:i/>
          <w:lang w:bidi="ar-SA"/>
        </w:rPr>
        <w:t xml:space="preserve"> Private sector – Nepal?</w:t>
      </w:r>
      <w:r w:rsidR="009F1226">
        <w:rPr>
          <w:i/>
          <w:lang w:bidi="ar-SA"/>
        </w:rPr>
        <w:t xml:space="preserve"> What about LAC?</w:t>
      </w:r>
      <w:r w:rsidR="001809BE">
        <w:rPr>
          <w:i/>
          <w:lang w:bidi="ar-SA"/>
        </w:rPr>
        <w:t>]</w:t>
      </w:r>
      <w:r w:rsidR="00DF11A9">
        <w:rPr>
          <w:i/>
          <w:lang w:bidi="ar-SA"/>
        </w:rPr>
        <w:t xml:space="preserve"> </w:t>
      </w:r>
      <w:r w:rsidR="00DF11A9" w:rsidRPr="001456B1">
        <w:rPr>
          <w:rFonts w:asciiTheme="minorHAnsi" w:hAnsiTheme="minorHAnsi"/>
          <w:sz w:val="22"/>
          <w:highlight w:val="yellow"/>
        </w:rPr>
        <w:t xml:space="preserve">[to be </w:t>
      </w:r>
      <w:r w:rsidR="00DF11A9">
        <w:rPr>
          <w:rFonts w:asciiTheme="minorHAnsi" w:hAnsiTheme="minorHAnsi"/>
          <w:sz w:val="22"/>
          <w:highlight w:val="yellow"/>
        </w:rPr>
        <w:t>completed</w:t>
      </w:r>
      <w:r w:rsidR="00DF11A9" w:rsidRPr="001456B1">
        <w:rPr>
          <w:rFonts w:asciiTheme="minorHAnsi" w:hAnsiTheme="minorHAnsi"/>
          <w:sz w:val="22"/>
          <w:highlight w:val="yellow"/>
        </w:rPr>
        <w:t>].</w:t>
      </w:r>
    </w:p>
    <w:p w14:paraId="66647F0E" w14:textId="75D89FD3" w:rsidR="007B4C70" w:rsidRPr="001809BE" w:rsidRDefault="00C45FC4" w:rsidP="001809BE">
      <w:pPr>
        <w:pStyle w:val="Heading2"/>
        <w:rPr>
          <w:lang w:bidi="ar-SA"/>
        </w:rPr>
      </w:pPr>
      <w:bookmarkStart w:id="47" w:name="_Toc451948712"/>
      <w:r>
        <w:rPr>
          <w:lang w:bidi="ar-SA"/>
        </w:rPr>
        <w:t xml:space="preserve">Case study </w:t>
      </w:r>
      <w:r w:rsidR="00E935DD">
        <w:rPr>
          <w:lang w:bidi="ar-SA"/>
        </w:rPr>
        <w:t>5</w:t>
      </w:r>
      <w:r w:rsidR="00E664CE">
        <w:rPr>
          <w:lang w:bidi="ar-SA"/>
        </w:rPr>
        <w:t xml:space="preserve">:  </w:t>
      </w:r>
      <w:r w:rsidR="00E935DD">
        <w:rPr>
          <w:lang w:bidi="ar-SA"/>
        </w:rPr>
        <w:t>Sub-national Mainstreaming in</w:t>
      </w:r>
      <w:bookmarkEnd w:id="47"/>
      <w:r w:rsidR="001809BE">
        <w:rPr>
          <w:lang w:bidi="ar-SA"/>
        </w:rPr>
        <w:t>... [</w:t>
      </w:r>
      <w:r w:rsidR="008A7896">
        <w:rPr>
          <w:i/>
          <w:lang w:bidi="ar-SA"/>
        </w:rPr>
        <w:t>e.g. community planning guidelines Uganda/Armenia</w:t>
      </w:r>
      <w:r w:rsidR="001809BE">
        <w:rPr>
          <w:i/>
          <w:lang w:bidi="ar-SA"/>
        </w:rPr>
        <w:t>]</w:t>
      </w:r>
      <w:r w:rsidR="00DF11A9">
        <w:rPr>
          <w:i/>
          <w:lang w:bidi="ar-SA"/>
        </w:rPr>
        <w:t xml:space="preserve"> </w:t>
      </w:r>
      <w:r w:rsidR="00DF11A9" w:rsidRPr="001456B1">
        <w:rPr>
          <w:rFonts w:asciiTheme="minorHAnsi" w:hAnsiTheme="minorHAnsi"/>
          <w:sz w:val="22"/>
          <w:highlight w:val="yellow"/>
        </w:rPr>
        <w:t xml:space="preserve">[to be </w:t>
      </w:r>
      <w:r w:rsidR="00DF11A9">
        <w:rPr>
          <w:rFonts w:asciiTheme="minorHAnsi" w:hAnsiTheme="minorHAnsi"/>
          <w:sz w:val="22"/>
          <w:highlight w:val="yellow"/>
        </w:rPr>
        <w:t>completed</w:t>
      </w:r>
      <w:r w:rsidR="00DF11A9" w:rsidRPr="001456B1">
        <w:rPr>
          <w:rFonts w:asciiTheme="minorHAnsi" w:hAnsiTheme="minorHAnsi"/>
          <w:sz w:val="22"/>
          <w:highlight w:val="yellow"/>
        </w:rPr>
        <w:t>].</w:t>
      </w:r>
    </w:p>
    <w:p w14:paraId="28771E44" w14:textId="2CCAFD47" w:rsidR="007B4C70" w:rsidRDefault="007B4C70" w:rsidP="007B4C70">
      <w:pPr>
        <w:pStyle w:val="Heading2"/>
        <w:rPr>
          <w:lang w:bidi="ar-SA"/>
        </w:rPr>
      </w:pPr>
      <w:bookmarkStart w:id="48" w:name="_Toc451948713"/>
      <w:r>
        <w:rPr>
          <w:lang w:bidi="ar-SA"/>
        </w:rPr>
        <w:t xml:space="preserve">Case study </w:t>
      </w:r>
      <w:r w:rsidR="00E935DD">
        <w:rPr>
          <w:lang w:bidi="ar-SA"/>
        </w:rPr>
        <w:t>6</w:t>
      </w:r>
      <w:r>
        <w:rPr>
          <w:lang w:bidi="ar-SA"/>
        </w:rPr>
        <w:t>:  Sub-national Mainstreaming in Vanuatu</w:t>
      </w:r>
      <w:bookmarkEnd w:id="48"/>
      <w:r w:rsidR="00DF11A9">
        <w:rPr>
          <w:lang w:bidi="ar-SA"/>
        </w:rPr>
        <w:t xml:space="preserve"> </w:t>
      </w:r>
      <w:r w:rsidR="00DF11A9" w:rsidRPr="001456B1">
        <w:rPr>
          <w:rFonts w:asciiTheme="minorHAnsi" w:hAnsiTheme="minorHAnsi"/>
          <w:sz w:val="22"/>
          <w:highlight w:val="yellow"/>
        </w:rPr>
        <w:t xml:space="preserve">[to be </w:t>
      </w:r>
      <w:r w:rsidR="00DF11A9">
        <w:rPr>
          <w:rFonts w:asciiTheme="minorHAnsi" w:hAnsiTheme="minorHAnsi"/>
          <w:sz w:val="22"/>
          <w:highlight w:val="yellow"/>
        </w:rPr>
        <w:t>completed</w:t>
      </w:r>
      <w:r w:rsidR="00DF11A9" w:rsidRPr="001456B1">
        <w:rPr>
          <w:rFonts w:asciiTheme="minorHAnsi" w:hAnsiTheme="minorHAnsi"/>
          <w:sz w:val="22"/>
          <w:highlight w:val="yellow"/>
        </w:rPr>
        <w:t>].</w:t>
      </w:r>
    </w:p>
    <w:p w14:paraId="02962FD9" w14:textId="1F851516" w:rsidR="007B4C70" w:rsidRDefault="007B4C70" w:rsidP="007B4C70">
      <w:pPr>
        <w:rPr>
          <w:lang w:bidi="ar-SA"/>
        </w:rPr>
      </w:pPr>
    </w:p>
    <w:p w14:paraId="1F6EE08F" w14:textId="0AA9DCC6" w:rsidR="00D548B7" w:rsidRDefault="00D548B7" w:rsidP="007B4C70">
      <w:pPr>
        <w:rPr>
          <w:lang w:bidi="ar-SA"/>
        </w:rPr>
      </w:pPr>
      <w:r w:rsidRPr="00D548B7">
        <w:rPr>
          <w:highlight w:val="yellow"/>
          <w:lang w:bidi="ar-SA"/>
        </w:rPr>
        <w:t>[Insert summary of key observations from the case studies]</w:t>
      </w:r>
    </w:p>
    <w:p w14:paraId="02D8326E" w14:textId="77777777" w:rsidR="00D548B7" w:rsidRDefault="00D548B7" w:rsidP="007B4C70">
      <w:pPr>
        <w:rPr>
          <w:lang w:bidi="ar-SA"/>
        </w:rPr>
      </w:pPr>
    </w:p>
    <w:p w14:paraId="4F86C170" w14:textId="35FB7959" w:rsidR="00E935DD" w:rsidRPr="00D548B7" w:rsidRDefault="00E935DD" w:rsidP="007B4C70">
      <w:pPr>
        <w:rPr>
          <w:b/>
          <w:i/>
          <w:sz w:val="28"/>
          <w:szCs w:val="28"/>
          <w:lang w:bidi="ar-SA"/>
        </w:rPr>
      </w:pPr>
      <w:r w:rsidRPr="00D548B7">
        <w:rPr>
          <w:i/>
          <w:sz w:val="28"/>
          <w:szCs w:val="28"/>
          <w:highlight w:val="yellow"/>
          <w:lang w:bidi="ar-SA"/>
        </w:rPr>
        <w:t>[</w:t>
      </w:r>
      <w:r w:rsidRPr="00D548B7">
        <w:rPr>
          <w:b/>
          <w:i/>
          <w:sz w:val="28"/>
          <w:szCs w:val="28"/>
          <w:highlight w:val="yellow"/>
          <w:lang w:bidi="ar-SA"/>
        </w:rPr>
        <w:t>Please let us know if you have additional case studies that you would like to share]</w:t>
      </w:r>
    </w:p>
    <w:p w14:paraId="7C18990F" w14:textId="77777777" w:rsidR="00C45FC4" w:rsidRPr="00C45FC4" w:rsidRDefault="00C45FC4" w:rsidP="00C45FC4">
      <w:pPr>
        <w:jc w:val="both"/>
      </w:pPr>
    </w:p>
    <w:p w14:paraId="600FA8D1" w14:textId="77777777" w:rsidR="00B244D1" w:rsidRPr="004252B3" w:rsidRDefault="00B244D1" w:rsidP="00AB5F5E">
      <w:pPr>
        <w:jc w:val="both"/>
        <w:rPr>
          <w:b/>
        </w:rPr>
      </w:pPr>
    </w:p>
    <w:p w14:paraId="6BCB347C" w14:textId="77777777" w:rsidR="00200BD2" w:rsidRPr="00200BD2" w:rsidRDefault="00200BD2" w:rsidP="00200BD2">
      <w:pPr>
        <w:pStyle w:val="ListParagraph"/>
        <w:rPr>
          <w:rFonts w:asciiTheme="minorHAnsi" w:hAnsiTheme="minorHAnsi"/>
          <w:sz w:val="22"/>
        </w:rPr>
      </w:pPr>
    </w:p>
    <w:p w14:paraId="228B71EE" w14:textId="77777777" w:rsidR="00E94B90" w:rsidRDefault="00E94B90" w:rsidP="00E94B90">
      <w:pPr>
        <w:pStyle w:val="ListParagraph"/>
        <w:rPr>
          <w:rFonts w:asciiTheme="minorHAnsi" w:hAnsiTheme="minorHAnsi"/>
          <w:sz w:val="22"/>
        </w:rPr>
      </w:pPr>
    </w:p>
    <w:p w14:paraId="4C92BCAB" w14:textId="77777777" w:rsidR="00200BD2" w:rsidRPr="00200BD2" w:rsidRDefault="00200BD2" w:rsidP="00200BD2">
      <w:pPr>
        <w:pStyle w:val="ListParagraph"/>
        <w:rPr>
          <w:rFonts w:asciiTheme="minorHAnsi" w:hAnsiTheme="minorHAnsi"/>
          <w:sz w:val="22"/>
        </w:rPr>
      </w:pPr>
    </w:p>
    <w:p w14:paraId="3383EBC7" w14:textId="316B09D8" w:rsidR="00965EC5" w:rsidRDefault="00965EC5">
      <w:r>
        <w:br w:type="page"/>
      </w:r>
    </w:p>
    <w:p w14:paraId="39C88B14" w14:textId="1DC19CDF" w:rsidR="00CB28E3" w:rsidRDefault="00CB28E3" w:rsidP="00827035">
      <w:pPr>
        <w:rPr>
          <w:i/>
          <w:highlight w:val="yellow"/>
        </w:rPr>
        <w:sectPr w:rsidR="00CB28E3" w:rsidSect="009439EC">
          <w:footerReference w:type="default" r:id="rId22"/>
          <w:pgSz w:w="12240" w:h="15840"/>
          <w:pgMar w:top="567" w:right="1134" w:bottom="567" w:left="1134" w:header="720" w:footer="720" w:gutter="0"/>
          <w:cols w:space="720"/>
          <w:titlePg/>
          <w:docGrid w:linePitch="360"/>
        </w:sectPr>
      </w:pPr>
    </w:p>
    <w:p w14:paraId="70D53BC1" w14:textId="4372A70D" w:rsidR="00A26834" w:rsidRDefault="00E15440" w:rsidP="00D548B7">
      <w:pPr>
        <w:pStyle w:val="Heading1"/>
      </w:pPr>
      <w:r>
        <w:t>Results</w:t>
      </w:r>
      <w:r w:rsidR="001809BE">
        <w:t xml:space="preserve"> of Successful DRR/CCA Mainstreaming Efforts</w:t>
      </w:r>
    </w:p>
    <w:p w14:paraId="448410A5" w14:textId="2204AD67" w:rsidR="00CA600A" w:rsidRPr="00DF11A9" w:rsidRDefault="00CA600A" w:rsidP="00563D34">
      <w:pPr>
        <w:rPr>
          <w:highlight w:val="yellow"/>
          <w:lang w:bidi="ar-SA"/>
        </w:rPr>
      </w:pPr>
      <w:r w:rsidRPr="00DF11A9">
        <w:rPr>
          <w:highlight w:val="yellow"/>
          <w:lang w:bidi="ar-SA"/>
        </w:rPr>
        <w:t>[This section will be included in the final draft]</w:t>
      </w:r>
    </w:p>
    <w:p w14:paraId="086409C5" w14:textId="0199A3F5" w:rsidR="00F017E7" w:rsidRDefault="00F017E7" w:rsidP="001D7DB9">
      <w:pPr>
        <w:rPr>
          <w:i/>
        </w:rPr>
      </w:pPr>
    </w:p>
    <w:p w14:paraId="3E0EA854" w14:textId="5155531E" w:rsidR="001D7DB9" w:rsidRDefault="001D7DB9" w:rsidP="001D7DB9">
      <w:pPr>
        <w:rPr>
          <w:i/>
        </w:rPr>
      </w:pPr>
    </w:p>
    <w:p w14:paraId="516277A5" w14:textId="4994D54D" w:rsidR="001A7503" w:rsidRDefault="001A7503">
      <w:pPr>
        <w:rPr>
          <w:i/>
        </w:rPr>
      </w:pPr>
      <w:r>
        <w:rPr>
          <w:i/>
        </w:rPr>
        <w:br w:type="page"/>
      </w:r>
    </w:p>
    <w:p w14:paraId="6DC7B513" w14:textId="7AE7A44A" w:rsidR="001A7503" w:rsidRDefault="001A7503" w:rsidP="00D548B7">
      <w:pPr>
        <w:pStyle w:val="Heading1"/>
        <w:numPr>
          <w:ilvl w:val="0"/>
          <w:numId w:val="0"/>
        </w:numPr>
        <w:ind w:left="360"/>
      </w:pPr>
      <w:bookmarkStart w:id="49" w:name="_Toc451948715"/>
      <w:r>
        <w:t>Annex A:  Mainstreaming Entry Points</w:t>
      </w:r>
      <w:bookmarkEnd w:id="49"/>
    </w:p>
    <w:p w14:paraId="2396B055" w14:textId="77777777" w:rsidR="001A7503" w:rsidRPr="001A7503" w:rsidRDefault="001A7503" w:rsidP="001A7503"/>
    <w:p w14:paraId="7B068F1D" w14:textId="16C46E35" w:rsidR="001A7503" w:rsidRPr="00DF11A9" w:rsidRDefault="001A7503" w:rsidP="001A7503">
      <w:pPr>
        <w:rPr>
          <w:highlight w:val="yellow"/>
          <w:lang w:bidi="ar-SA"/>
        </w:rPr>
      </w:pPr>
      <w:r w:rsidRPr="00DF11A9">
        <w:rPr>
          <w:highlight w:val="yellow"/>
          <w:lang w:bidi="ar-SA"/>
        </w:rPr>
        <w:t>[Note</w:t>
      </w:r>
      <w:r w:rsidR="00D548B7" w:rsidRPr="00DF11A9">
        <w:rPr>
          <w:highlight w:val="yellow"/>
          <w:lang w:bidi="ar-SA"/>
        </w:rPr>
        <w:t xml:space="preserve"> this Annex is work in progress</w:t>
      </w:r>
      <w:r w:rsidRPr="00DF11A9">
        <w:rPr>
          <w:highlight w:val="yellow"/>
          <w:lang w:bidi="ar-SA"/>
        </w:rPr>
        <w:t>]</w:t>
      </w:r>
    </w:p>
    <w:sectPr w:rsidR="001A7503" w:rsidRPr="00DF11A9" w:rsidSect="00760221">
      <w:pgSz w:w="12240" w:h="15840"/>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9F60A" w14:textId="77777777" w:rsidR="00C761F3" w:rsidRDefault="00C761F3" w:rsidP="00042ED0">
      <w:pPr>
        <w:spacing w:after="0" w:line="240" w:lineRule="auto"/>
      </w:pPr>
      <w:r>
        <w:separator/>
      </w:r>
    </w:p>
  </w:endnote>
  <w:endnote w:type="continuationSeparator" w:id="0">
    <w:p w14:paraId="1EE1EB11" w14:textId="77777777" w:rsidR="00C761F3" w:rsidRDefault="00C761F3" w:rsidP="0004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077868"/>
      <w:docPartObj>
        <w:docPartGallery w:val="Page Numbers (Bottom of Page)"/>
        <w:docPartUnique/>
      </w:docPartObj>
    </w:sdtPr>
    <w:sdtEndPr>
      <w:rPr>
        <w:color w:val="7F7F7F" w:themeColor="background1" w:themeShade="7F"/>
        <w:spacing w:val="60"/>
      </w:rPr>
    </w:sdtEndPr>
    <w:sdtContent>
      <w:p w14:paraId="5DF930B8" w14:textId="13E7C218" w:rsidR="00C761F3" w:rsidRDefault="00C761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06C3">
          <w:rPr>
            <w:noProof/>
          </w:rPr>
          <w:t>3</w:t>
        </w:r>
        <w:r>
          <w:rPr>
            <w:noProof/>
          </w:rPr>
          <w:fldChar w:fldCharType="end"/>
        </w:r>
        <w:r>
          <w:t xml:space="preserve"> | </w:t>
        </w:r>
        <w:r>
          <w:rPr>
            <w:color w:val="7F7F7F" w:themeColor="background1" w:themeShade="7F"/>
            <w:spacing w:val="60"/>
          </w:rPr>
          <w:t>Page</w:t>
        </w:r>
      </w:p>
    </w:sdtContent>
  </w:sdt>
  <w:p w14:paraId="3FD0748C" w14:textId="77777777" w:rsidR="00C761F3" w:rsidRDefault="00C76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947D4" w14:textId="77777777" w:rsidR="00C761F3" w:rsidRDefault="00C761F3" w:rsidP="00042ED0">
      <w:pPr>
        <w:spacing w:after="0" w:line="240" w:lineRule="auto"/>
      </w:pPr>
      <w:r>
        <w:separator/>
      </w:r>
    </w:p>
  </w:footnote>
  <w:footnote w:type="continuationSeparator" w:id="0">
    <w:p w14:paraId="6B292795" w14:textId="77777777" w:rsidR="00C761F3" w:rsidRDefault="00C761F3" w:rsidP="00042ED0">
      <w:pPr>
        <w:spacing w:after="0" w:line="240" w:lineRule="auto"/>
      </w:pPr>
      <w:r>
        <w:continuationSeparator/>
      </w:r>
    </w:p>
  </w:footnote>
  <w:footnote w:id="1">
    <w:p w14:paraId="31E1BB8E" w14:textId="793E7788" w:rsidR="00C761F3" w:rsidRPr="006A441C" w:rsidRDefault="00C761F3" w:rsidP="00A4094D">
      <w:pPr>
        <w:pStyle w:val="FootnoteText"/>
        <w:rPr>
          <w:sz w:val="18"/>
          <w:szCs w:val="18"/>
          <w:lang w:val="en-GB"/>
        </w:rPr>
      </w:pPr>
      <w:r w:rsidRPr="006A441C">
        <w:rPr>
          <w:rStyle w:val="FootnoteReference"/>
          <w:sz w:val="18"/>
          <w:szCs w:val="18"/>
        </w:rPr>
        <w:footnoteRef/>
      </w:r>
      <w:r w:rsidRPr="006A441C">
        <w:rPr>
          <w:sz w:val="18"/>
          <w:szCs w:val="18"/>
        </w:rPr>
        <w:t xml:space="preserve"> In in some regions, separate regional frameworks are being replaced with more integrated dialogue or strategies, for example, the</w:t>
      </w:r>
      <w:r w:rsidRPr="006A441C">
        <w:rPr>
          <w:rFonts w:eastAsia="Times New Roman" w:cs="Times New Roman"/>
          <w:sz w:val="18"/>
          <w:szCs w:val="18"/>
          <w:lang w:eastAsia="en-GB"/>
        </w:rPr>
        <w:t xml:space="preserve"> proposed “</w:t>
      </w:r>
      <w:r w:rsidRPr="006A441C">
        <w:rPr>
          <w:rFonts w:eastAsia="Times New Roman" w:cs="Times New Roman"/>
          <w:i/>
          <w:sz w:val="18"/>
          <w:szCs w:val="18"/>
          <w:lang w:eastAsia="en-GB"/>
        </w:rPr>
        <w:t>Strategy for Climate and Disaster Resilience in the Pacific” (SRDP) (PIFS, 2015).</w:t>
      </w:r>
    </w:p>
  </w:footnote>
  <w:footnote w:id="2">
    <w:p w14:paraId="3939A629" w14:textId="399FEF00" w:rsidR="00C761F3" w:rsidRPr="0064314D" w:rsidRDefault="00C761F3">
      <w:pPr>
        <w:pStyle w:val="FootnoteText"/>
        <w:rPr>
          <w:lang w:val="en-GB"/>
        </w:rPr>
      </w:pPr>
      <w:r w:rsidRPr="006A441C">
        <w:rPr>
          <w:rStyle w:val="FootnoteReference"/>
          <w:sz w:val="18"/>
          <w:szCs w:val="18"/>
        </w:rPr>
        <w:footnoteRef/>
      </w:r>
      <w:r w:rsidRPr="006A441C">
        <w:rPr>
          <w:sz w:val="18"/>
          <w:szCs w:val="18"/>
        </w:rPr>
        <w:t xml:space="preserve"> </w:t>
      </w:r>
      <w:r>
        <w:rPr>
          <w:sz w:val="18"/>
          <w:szCs w:val="18"/>
          <w:lang w:val="en-GB"/>
        </w:rPr>
        <w:t>See “Risk Governance</w:t>
      </w:r>
      <w:r w:rsidRPr="006A441C">
        <w:rPr>
          <w:sz w:val="18"/>
          <w:szCs w:val="18"/>
          <w:lang w:val="en-GB"/>
        </w:rPr>
        <w:t xml:space="preserve">  Building Blocks for Resilient Development in the Pacific” (UNDP, PRRP).</w:t>
      </w:r>
      <w:r>
        <w:rPr>
          <w:lang w:val="en-GB"/>
        </w:rPr>
        <w:t xml:space="preserve"> </w:t>
      </w:r>
    </w:p>
  </w:footnote>
  <w:footnote w:id="3">
    <w:p w14:paraId="1B4C9AAF" w14:textId="06132B6A" w:rsidR="00C761F3" w:rsidRPr="004F58C3" w:rsidRDefault="00C761F3">
      <w:pPr>
        <w:pStyle w:val="FootnoteText"/>
        <w:rPr>
          <w:i/>
          <w:lang w:val="en-GB"/>
        </w:rPr>
      </w:pPr>
      <w:r>
        <w:rPr>
          <w:rStyle w:val="FootnoteReference"/>
        </w:rPr>
        <w:footnoteRef/>
      </w:r>
      <w:r>
        <w:t xml:space="preserve"> </w:t>
      </w:r>
      <w:r w:rsidRPr="006A441C">
        <w:rPr>
          <w:i/>
          <w:sz w:val="18"/>
          <w:szCs w:val="18"/>
          <w:lang w:val="en-GB"/>
        </w:rPr>
        <w:t>Draft Review Report:  CCA and DRR Mainstreaming Frameworks, Guidelines and Toolkits (BPPS, March 2016).</w:t>
      </w:r>
    </w:p>
  </w:footnote>
  <w:footnote w:id="4">
    <w:p w14:paraId="372DCCF7" w14:textId="4CBE9095" w:rsidR="00C761F3" w:rsidRPr="00753A51" w:rsidRDefault="00C761F3">
      <w:pPr>
        <w:pStyle w:val="FootnoteText"/>
        <w:rPr>
          <w:lang w:val="en-GB"/>
        </w:rPr>
      </w:pPr>
      <w:r>
        <w:rPr>
          <w:rStyle w:val="FootnoteReference"/>
        </w:rPr>
        <w:footnoteRef/>
      </w:r>
      <w:r>
        <w:t xml:space="preserve"> </w:t>
      </w:r>
      <w:r>
        <w:rPr>
          <w:i/>
          <w:lang w:val="en-GB"/>
        </w:rPr>
        <w:t>E.g. “CCA and DRR Mainstreaming Framework:  Consultation Findings and Case studies – Phase 1 of the E-Discussions (BPPS, April, 2016).</w:t>
      </w:r>
    </w:p>
  </w:footnote>
  <w:footnote w:id="5">
    <w:p w14:paraId="1F6B7F39" w14:textId="0F3050BE" w:rsidR="00C761F3" w:rsidRPr="00BD0B52" w:rsidRDefault="00C761F3" w:rsidP="00CB2412">
      <w:pPr>
        <w:pStyle w:val="FootnoteText"/>
        <w:rPr>
          <w:lang w:val="en-GB"/>
        </w:rPr>
      </w:pPr>
      <w:r>
        <w:rPr>
          <w:rStyle w:val="FootnoteReference"/>
        </w:rPr>
        <w:footnoteRef/>
      </w:r>
      <w:r>
        <w:t xml:space="preserve"> </w:t>
      </w:r>
      <w:r w:rsidRPr="00BD0B52">
        <w:rPr>
          <w:rFonts w:cs="ArialMT"/>
          <w:sz w:val="16"/>
          <w:szCs w:val="16"/>
        </w:rPr>
        <w:t xml:space="preserve">The </w:t>
      </w:r>
      <w:r w:rsidRPr="00BD0B52">
        <w:rPr>
          <w:sz w:val="16"/>
          <w:szCs w:val="16"/>
        </w:rPr>
        <w:t xml:space="preserve">UN Framework Convention on Climate Change (UNFCCC) and the </w:t>
      </w:r>
      <w:r>
        <w:rPr>
          <w:sz w:val="16"/>
          <w:szCs w:val="16"/>
        </w:rPr>
        <w:t>Sendia Framework for DRR (2015-2013)</w:t>
      </w:r>
      <w:r w:rsidRPr="00BD0B52">
        <w:rPr>
          <w:sz w:val="16"/>
          <w:szCs w:val="16"/>
        </w:rPr>
        <w:t xml:space="preserve"> respectively</w:t>
      </w:r>
      <w:r>
        <w:rPr>
          <w:sz w:val="16"/>
          <w:szCs w:val="16"/>
        </w:rPr>
        <w:t>.</w:t>
      </w:r>
    </w:p>
  </w:footnote>
  <w:footnote w:id="6">
    <w:p w14:paraId="6E1E44FF" w14:textId="00272162" w:rsidR="00C761F3" w:rsidRPr="00C761F3" w:rsidRDefault="00C761F3" w:rsidP="009A141F">
      <w:pPr>
        <w:pStyle w:val="FootnoteText"/>
        <w:jc w:val="both"/>
        <w:rPr>
          <w:i/>
          <w:lang w:val="fr-BE"/>
        </w:rPr>
      </w:pPr>
      <w:r>
        <w:rPr>
          <w:rStyle w:val="FootnoteReference"/>
        </w:rPr>
        <w:footnoteRef/>
      </w:r>
      <w:r w:rsidRPr="00C761F3">
        <w:rPr>
          <w:lang w:val="fr-BE"/>
        </w:rPr>
        <w:t xml:space="preserve"> Online dialogue.</w:t>
      </w:r>
    </w:p>
  </w:footnote>
  <w:footnote w:id="7">
    <w:p w14:paraId="1700C161" w14:textId="1C8D7DC4" w:rsidR="00C761F3" w:rsidRPr="00C761F3" w:rsidRDefault="00C761F3">
      <w:pPr>
        <w:pStyle w:val="FootnoteText"/>
        <w:rPr>
          <w:lang w:val="fr-BE"/>
        </w:rPr>
      </w:pPr>
      <w:r>
        <w:rPr>
          <w:rStyle w:val="FootnoteReference"/>
        </w:rPr>
        <w:footnoteRef/>
      </w:r>
      <w:r w:rsidRPr="00C761F3">
        <w:rPr>
          <w:lang w:val="fr-BE"/>
        </w:rPr>
        <w:t xml:space="preserve"> Online dialogue.</w:t>
      </w:r>
    </w:p>
  </w:footnote>
  <w:footnote w:id="8">
    <w:p w14:paraId="719B7D0F" w14:textId="2A80D872" w:rsidR="00C761F3" w:rsidRPr="00C761F3" w:rsidRDefault="00C761F3">
      <w:pPr>
        <w:pStyle w:val="FootnoteText"/>
        <w:rPr>
          <w:lang w:val="fr-BE"/>
        </w:rPr>
      </w:pPr>
      <w:r>
        <w:rPr>
          <w:rStyle w:val="FootnoteReference"/>
        </w:rPr>
        <w:footnoteRef/>
      </w:r>
      <w:r w:rsidRPr="00C761F3">
        <w:rPr>
          <w:lang w:val="fr-BE"/>
        </w:rPr>
        <w:t xml:space="preserve"> Online dialogue.</w:t>
      </w:r>
    </w:p>
  </w:footnote>
  <w:footnote w:id="9">
    <w:p w14:paraId="45EA9A07" w14:textId="3DCAB23A" w:rsidR="00C761F3" w:rsidRPr="00C761F3" w:rsidRDefault="00C761F3">
      <w:pPr>
        <w:pStyle w:val="FootnoteText"/>
        <w:rPr>
          <w:lang w:val="fr-BE"/>
        </w:rPr>
      </w:pPr>
      <w:r>
        <w:rPr>
          <w:rStyle w:val="FootnoteReference"/>
        </w:rPr>
        <w:footnoteRef/>
      </w:r>
      <w:r w:rsidRPr="00C761F3">
        <w:rPr>
          <w:lang w:val="fr-BE"/>
        </w:rPr>
        <w:t xml:space="preserve"> Online dialogue.</w:t>
      </w:r>
    </w:p>
  </w:footnote>
  <w:footnote w:id="10">
    <w:p w14:paraId="1CCD7DA0" w14:textId="219C2E45" w:rsidR="00C761F3" w:rsidRPr="008B006C" w:rsidRDefault="00C761F3">
      <w:pPr>
        <w:pStyle w:val="FootnoteText"/>
        <w:rPr>
          <w:lang w:val="de-DE"/>
        </w:rPr>
      </w:pPr>
      <w:r>
        <w:rPr>
          <w:rStyle w:val="FootnoteReference"/>
        </w:rPr>
        <w:footnoteRef/>
      </w:r>
      <w:r w:rsidRPr="008B006C">
        <w:rPr>
          <w:lang w:val="de-DE"/>
        </w:rPr>
        <w:t xml:space="preserve"> Online dialogue.</w:t>
      </w:r>
    </w:p>
  </w:footnote>
  <w:footnote w:id="11">
    <w:p w14:paraId="314171D1" w14:textId="1247EFA4" w:rsidR="00C761F3" w:rsidRPr="008B006C" w:rsidRDefault="00C761F3">
      <w:pPr>
        <w:pStyle w:val="FootnoteText"/>
        <w:rPr>
          <w:lang w:val="de-DE"/>
        </w:rPr>
      </w:pPr>
      <w:r>
        <w:rPr>
          <w:rStyle w:val="FootnoteReference"/>
        </w:rPr>
        <w:footnoteRef/>
      </w:r>
      <w:r w:rsidRPr="008B006C">
        <w:rPr>
          <w:lang w:val="de-DE"/>
        </w:rPr>
        <w:t xml:space="preserve"> Online dialogue.</w:t>
      </w:r>
    </w:p>
  </w:footnote>
  <w:footnote w:id="12">
    <w:p w14:paraId="097C3B6E" w14:textId="5389F0C9" w:rsidR="00C761F3" w:rsidRPr="008B006C" w:rsidRDefault="00C761F3">
      <w:pPr>
        <w:pStyle w:val="FootnoteText"/>
        <w:rPr>
          <w:lang w:val="de-DE"/>
        </w:rPr>
      </w:pPr>
      <w:r>
        <w:rPr>
          <w:rStyle w:val="FootnoteReference"/>
        </w:rPr>
        <w:footnoteRef/>
      </w:r>
      <w:r w:rsidRPr="008B006C">
        <w:rPr>
          <w:lang w:val="de-DE"/>
        </w:rPr>
        <w:t xml:space="preserve"> Online dialogue.</w:t>
      </w:r>
    </w:p>
  </w:footnote>
  <w:footnote w:id="13">
    <w:p w14:paraId="289C5484" w14:textId="0F5AF300" w:rsidR="00C761F3" w:rsidRPr="003C2019" w:rsidRDefault="00C761F3">
      <w:pPr>
        <w:pStyle w:val="FootnoteText"/>
        <w:rPr>
          <w:lang w:val="en-GB"/>
        </w:rPr>
      </w:pPr>
      <w:r>
        <w:rPr>
          <w:rStyle w:val="FootnoteReference"/>
        </w:rPr>
        <w:footnoteRef/>
      </w:r>
      <w:r>
        <w:t xml:space="preserve"> </w:t>
      </w:r>
      <w:r>
        <w:rPr>
          <w:lang w:val="en-GB"/>
        </w:rPr>
        <w:t>Note the risk screening tool does not focus solely on climate and disaster risk, but a range of risks felt to be relevant for planners (e.g. financial, management, environmental) as well as factors contributing to vulnerability e.g. gender and social inclusion.</w:t>
      </w:r>
    </w:p>
  </w:footnote>
  <w:footnote w:id="14">
    <w:p w14:paraId="673EDD7C" w14:textId="77777777" w:rsidR="00C761F3" w:rsidRPr="003C2019" w:rsidRDefault="00C761F3" w:rsidP="003D6298">
      <w:pPr>
        <w:pStyle w:val="FootnoteText"/>
        <w:rPr>
          <w:lang w:val="en-GB"/>
        </w:rPr>
      </w:pPr>
      <w:r>
        <w:rPr>
          <w:rStyle w:val="FootnoteReference"/>
        </w:rPr>
        <w:footnoteRef/>
      </w:r>
      <w:r>
        <w:t xml:space="preserve"> </w:t>
      </w:r>
      <w:r>
        <w:rPr>
          <w:lang w:val="en-GB"/>
        </w:rPr>
        <w:t>Note the risk screening tool does not focus solely on climate and disaster risk, but a range of risks felt to be relevant for planners (e.g. financial, management, environmental) as well as factors contributing to vulnerability e.g. gender and social inclusion.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853B8"/>
    <w:multiLevelType w:val="hybridMultilevel"/>
    <w:tmpl w:val="06A09154"/>
    <w:lvl w:ilvl="0" w:tplc="58B6CB3E">
      <w:start w:val="1"/>
      <w:numFmt w:val="lowerLetter"/>
      <w:lvlText w:val="%1)"/>
      <w:lvlJc w:val="left"/>
      <w:pPr>
        <w:ind w:left="360" w:hanging="360"/>
      </w:pPr>
      <w:rPr>
        <w:rFonts w:hint="default"/>
        <w:b/>
        <w:i w:val="0"/>
        <w:sz w:val="22"/>
        <w:u w:color="4472C4" w:themeColor="accent5"/>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02E70"/>
    <w:multiLevelType w:val="hybridMultilevel"/>
    <w:tmpl w:val="60947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7721A9"/>
    <w:multiLevelType w:val="hybridMultilevel"/>
    <w:tmpl w:val="07627376"/>
    <w:lvl w:ilvl="0" w:tplc="08090005">
      <w:start w:val="1"/>
      <w:numFmt w:val="bullet"/>
      <w:lvlText w:val=""/>
      <w:lvlJc w:val="left"/>
      <w:pPr>
        <w:ind w:left="360" w:hanging="360"/>
      </w:pPr>
      <w:rPr>
        <w:rFonts w:ascii="Wingdings" w:hAnsi="Wingdings"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014761"/>
    <w:multiLevelType w:val="hybridMultilevel"/>
    <w:tmpl w:val="4508A5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C61285"/>
    <w:multiLevelType w:val="hybridMultilevel"/>
    <w:tmpl w:val="CD18AB38"/>
    <w:lvl w:ilvl="0" w:tplc="C16CEBA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162759"/>
    <w:multiLevelType w:val="hybridMultilevel"/>
    <w:tmpl w:val="6180DEF4"/>
    <w:lvl w:ilvl="0" w:tplc="58B6CB3E">
      <w:start w:val="1"/>
      <w:numFmt w:val="lowerLetter"/>
      <w:lvlText w:val="%1)"/>
      <w:lvlJc w:val="left"/>
      <w:pPr>
        <w:ind w:left="360" w:hanging="360"/>
      </w:pPr>
      <w:rPr>
        <w:rFonts w:hint="default"/>
        <w:b/>
        <w:i w:val="0"/>
        <w:sz w:val="22"/>
        <w:u w:color="4472C4" w:themeColor="accent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C228C0"/>
    <w:multiLevelType w:val="hybridMultilevel"/>
    <w:tmpl w:val="2D941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A072A"/>
    <w:multiLevelType w:val="hybridMultilevel"/>
    <w:tmpl w:val="07F24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E0B7D"/>
    <w:multiLevelType w:val="hybridMultilevel"/>
    <w:tmpl w:val="EA3C9A2C"/>
    <w:lvl w:ilvl="0" w:tplc="08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385DFB"/>
    <w:multiLevelType w:val="hybridMultilevel"/>
    <w:tmpl w:val="FE44351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87292"/>
    <w:multiLevelType w:val="hybridMultilevel"/>
    <w:tmpl w:val="2DAEF6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2E0639"/>
    <w:multiLevelType w:val="hybridMultilevel"/>
    <w:tmpl w:val="F4949448"/>
    <w:lvl w:ilvl="0" w:tplc="08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F75777"/>
    <w:multiLevelType w:val="hybridMultilevel"/>
    <w:tmpl w:val="37A62F1A"/>
    <w:lvl w:ilvl="0" w:tplc="0809000B">
      <w:start w:val="1"/>
      <w:numFmt w:val="bullet"/>
      <w:lvlText w:val=""/>
      <w:lvlJc w:val="left"/>
      <w:pPr>
        <w:ind w:left="360" w:hanging="360"/>
      </w:pPr>
      <w:rPr>
        <w:rFonts w:ascii="Wingdings" w:hAnsi="Wingdings" w:hint="default"/>
        <w:color w:val="auto"/>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C94B67"/>
    <w:multiLevelType w:val="hybridMultilevel"/>
    <w:tmpl w:val="EA10297E"/>
    <w:lvl w:ilvl="0" w:tplc="58B6CB3E">
      <w:start w:val="1"/>
      <w:numFmt w:val="lowerLetter"/>
      <w:lvlText w:val="%1)"/>
      <w:lvlJc w:val="left"/>
      <w:pPr>
        <w:ind w:left="360" w:hanging="360"/>
      </w:pPr>
      <w:rPr>
        <w:rFonts w:hint="default"/>
        <w:b/>
        <w:i w:val="0"/>
        <w:color w:val="auto"/>
        <w:sz w:val="22"/>
        <w:u w:color="4472C4" w:themeColor="accent5"/>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263FB6"/>
    <w:multiLevelType w:val="hybridMultilevel"/>
    <w:tmpl w:val="02DCF9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79446F"/>
    <w:multiLevelType w:val="hybridMultilevel"/>
    <w:tmpl w:val="5024D8DC"/>
    <w:lvl w:ilvl="0" w:tplc="58B6CB3E">
      <w:start w:val="1"/>
      <w:numFmt w:val="lowerLetter"/>
      <w:lvlText w:val="%1)"/>
      <w:lvlJc w:val="left"/>
      <w:pPr>
        <w:ind w:left="360" w:hanging="360"/>
      </w:pPr>
      <w:rPr>
        <w:rFonts w:hint="default"/>
        <w:b/>
        <w:i w:val="0"/>
        <w:color w:val="auto"/>
        <w:sz w:val="22"/>
        <w:u w:color="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83476D"/>
    <w:multiLevelType w:val="hybridMultilevel"/>
    <w:tmpl w:val="B61A8924"/>
    <w:lvl w:ilvl="0" w:tplc="58B6CB3E">
      <w:start w:val="1"/>
      <w:numFmt w:val="lowerLetter"/>
      <w:lvlText w:val="%1)"/>
      <w:lvlJc w:val="left"/>
      <w:pPr>
        <w:ind w:left="360" w:hanging="360"/>
      </w:pPr>
      <w:rPr>
        <w:rFonts w:hint="default"/>
        <w:b/>
        <w:i w:val="0"/>
        <w:color w:val="auto"/>
        <w:sz w:val="22"/>
        <w:u w:color="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AA1C7D"/>
    <w:multiLevelType w:val="hybridMultilevel"/>
    <w:tmpl w:val="1C7C31D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EE4051"/>
    <w:multiLevelType w:val="hybridMultilevel"/>
    <w:tmpl w:val="5E58B3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4EC1950"/>
    <w:multiLevelType w:val="hybridMultilevel"/>
    <w:tmpl w:val="96024408"/>
    <w:lvl w:ilvl="0" w:tplc="BFAA8F44">
      <w:start w:val="1"/>
      <w:numFmt w:val="decimal"/>
      <w:lvlText w:val="%1)"/>
      <w:lvlJc w:val="left"/>
      <w:pPr>
        <w:ind w:left="360" w:hanging="360"/>
      </w:pPr>
      <w:rPr>
        <w:rFonts w:ascii="Calibri" w:hAnsi="Calibri" w:hint="default"/>
        <w:b/>
        <w:i w:val="0"/>
        <w:color w:val="auto"/>
        <w:sz w:val="22"/>
        <w:u w:color="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52204C"/>
    <w:multiLevelType w:val="hybridMultilevel"/>
    <w:tmpl w:val="6C021A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7B5B68"/>
    <w:multiLevelType w:val="hybridMultilevel"/>
    <w:tmpl w:val="CA141A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6D7627"/>
    <w:multiLevelType w:val="hybridMultilevel"/>
    <w:tmpl w:val="06FEAA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CB722D"/>
    <w:multiLevelType w:val="hybridMultilevel"/>
    <w:tmpl w:val="3CB8CEEA"/>
    <w:lvl w:ilvl="0" w:tplc="D43EE12A">
      <w:start w:val="1"/>
      <w:numFmt w:val="lowerLetter"/>
      <w:lvlText w:val="%1)"/>
      <w:lvlJc w:val="left"/>
      <w:pPr>
        <w:ind w:left="360" w:hanging="360"/>
      </w:pPr>
      <w:rPr>
        <w:rFonts w:ascii="Calibri" w:hAnsi="Calibri" w:hint="default"/>
        <w:b/>
        <w:i w:val="0"/>
        <w:sz w:val="22"/>
        <w:u w:color="4472C4" w:themeColor="accent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E6C2FB9"/>
    <w:multiLevelType w:val="hybridMultilevel"/>
    <w:tmpl w:val="F7AC0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B8758A"/>
    <w:multiLevelType w:val="hybridMultilevel"/>
    <w:tmpl w:val="DBDAF7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1E8610E"/>
    <w:multiLevelType w:val="hybridMultilevel"/>
    <w:tmpl w:val="B21669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EE2CEB"/>
    <w:multiLevelType w:val="hybridMultilevel"/>
    <w:tmpl w:val="F4DEB0D6"/>
    <w:lvl w:ilvl="0" w:tplc="58B6CB3E">
      <w:start w:val="1"/>
      <w:numFmt w:val="lowerLetter"/>
      <w:lvlText w:val="%1)"/>
      <w:lvlJc w:val="left"/>
      <w:pPr>
        <w:ind w:left="360" w:hanging="360"/>
      </w:pPr>
      <w:rPr>
        <w:rFonts w:hint="default"/>
        <w:b/>
        <w:i w:val="0"/>
        <w:sz w:val="22"/>
        <w:u w:color="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4090A98"/>
    <w:multiLevelType w:val="hybridMultilevel"/>
    <w:tmpl w:val="36CCB3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E81EAE"/>
    <w:multiLevelType w:val="hybridMultilevel"/>
    <w:tmpl w:val="5CB05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DA6D20"/>
    <w:multiLevelType w:val="hybridMultilevel"/>
    <w:tmpl w:val="7564F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FA55BD8"/>
    <w:multiLevelType w:val="hybridMultilevel"/>
    <w:tmpl w:val="7FE4F1F2"/>
    <w:lvl w:ilvl="0" w:tplc="08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4A06134"/>
    <w:multiLevelType w:val="hybridMultilevel"/>
    <w:tmpl w:val="A2DEA536"/>
    <w:lvl w:ilvl="0" w:tplc="58B6CB3E">
      <w:start w:val="1"/>
      <w:numFmt w:val="lowerLetter"/>
      <w:lvlText w:val="%1)"/>
      <w:lvlJc w:val="left"/>
      <w:pPr>
        <w:ind w:left="360" w:hanging="360"/>
      </w:pPr>
      <w:rPr>
        <w:rFonts w:hint="default"/>
        <w:b/>
        <w:i w:val="0"/>
        <w:sz w:val="22"/>
        <w:u w:color="4472C4" w:themeColor="accent5"/>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8440C23"/>
    <w:multiLevelType w:val="hybridMultilevel"/>
    <w:tmpl w:val="928686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8E23DCF"/>
    <w:multiLevelType w:val="hybridMultilevel"/>
    <w:tmpl w:val="8310709E"/>
    <w:lvl w:ilvl="0" w:tplc="C16CEBA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E949D9"/>
    <w:multiLevelType w:val="hybridMultilevel"/>
    <w:tmpl w:val="B4A6EA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ABB1F5E"/>
    <w:multiLevelType w:val="hybridMultilevel"/>
    <w:tmpl w:val="145084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BAC5067"/>
    <w:multiLevelType w:val="hybridMultilevel"/>
    <w:tmpl w:val="5D84EAF4"/>
    <w:lvl w:ilvl="0" w:tplc="C9287782">
      <w:start w:val="1"/>
      <w:numFmt w:val="decimal"/>
      <w:lvlText w:val="%1)"/>
      <w:lvlJc w:val="left"/>
      <w:pPr>
        <w:ind w:left="360" w:hanging="360"/>
      </w:pPr>
      <w:rPr>
        <w:rFonts w:ascii="Calibri" w:hAnsi="Calibri"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E0B4F11"/>
    <w:multiLevelType w:val="multilevel"/>
    <w:tmpl w:val="1042F7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E2941CA"/>
    <w:multiLevelType w:val="hybridMultilevel"/>
    <w:tmpl w:val="CEA074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EA565FF"/>
    <w:multiLevelType w:val="hybridMultilevel"/>
    <w:tmpl w:val="4BCE83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EFD1404"/>
    <w:multiLevelType w:val="hybridMultilevel"/>
    <w:tmpl w:val="2F9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F2D264B"/>
    <w:multiLevelType w:val="hybridMultilevel"/>
    <w:tmpl w:val="63A07B5C"/>
    <w:lvl w:ilvl="0" w:tplc="D43EE12A">
      <w:start w:val="1"/>
      <w:numFmt w:val="lowerLetter"/>
      <w:lvlText w:val="%1)"/>
      <w:lvlJc w:val="left"/>
      <w:pPr>
        <w:ind w:left="360" w:hanging="360"/>
      </w:pPr>
      <w:rPr>
        <w:rFonts w:ascii="Calibri" w:hAnsi="Calibri" w:hint="default"/>
        <w:b/>
        <w:i w:val="0"/>
        <w:sz w:val="22"/>
        <w:u w:color="4472C4" w:themeColor="accent5"/>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8AB6532"/>
    <w:multiLevelType w:val="hybridMultilevel"/>
    <w:tmpl w:val="D188DFEE"/>
    <w:lvl w:ilvl="0" w:tplc="08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A204F2B"/>
    <w:multiLevelType w:val="hybridMultilevel"/>
    <w:tmpl w:val="2BB416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1A359F"/>
    <w:multiLevelType w:val="hybridMultilevel"/>
    <w:tmpl w:val="C0749882"/>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7" w15:restartNumberingAfterBreak="0">
    <w:nsid w:val="601124CF"/>
    <w:multiLevelType w:val="hybridMultilevel"/>
    <w:tmpl w:val="86FE5188"/>
    <w:lvl w:ilvl="0" w:tplc="C16CEBA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974566"/>
    <w:multiLevelType w:val="hybridMultilevel"/>
    <w:tmpl w:val="366643A4"/>
    <w:lvl w:ilvl="0" w:tplc="58B6CB3E">
      <w:start w:val="1"/>
      <w:numFmt w:val="lowerLetter"/>
      <w:lvlText w:val="%1)"/>
      <w:lvlJc w:val="left"/>
      <w:pPr>
        <w:ind w:left="360" w:hanging="360"/>
      </w:pPr>
      <w:rPr>
        <w:rFonts w:hint="default"/>
        <w:b/>
        <w:i w:val="0"/>
        <w:color w:val="auto"/>
        <w:sz w:val="22"/>
        <w:u w:color="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15C46ED"/>
    <w:multiLevelType w:val="hybridMultilevel"/>
    <w:tmpl w:val="65FCD626"/>
    <w:lvl w:ilvl="0" w:tplc="C16CEB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0E29AF"/>
    <w:multiLevelType w:val="hybridMultilevel"/>
    <w:tmpl w:val="D4D6A780"/>
    <w:lvl w:ilvl="0" w:tplc="58B6CB3E">
      <w:start w:val="1"/>
      <w:numFmt w:val="lowerLetter"/>
      <w:lvlText w:val="%1)"/>
      <w:lvlJc w:val="left"/>
      <w:pPr>
        <w:ind w:left="360" w:hanging="360"/>
      </w:pPr>
      <w:rPr>
        <w:rFonts w:hint="default"/>
        <w:b/>
        <w:i w:val="0"/>
        <w:sz w:val="22"/>
        <w:u w:color="4472C4" w:themeColor="accent5"/>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53A20F6"/>
    <w:multiLevelType w:val="hybridMultilevel"/>
    <w:tmpl w:val="67E665F2"/>
    <w:lvl w:ilvl="0" w:tplc="55CCD9AE">
      <w:start w:val="1"/>
      <w:numFmt w:val="lowerLetter"/>
      <w:lvlText w:val="%1)"/>
      <w:lvlJc w:val="left"/>
      <w:pPr>
        <w:ind w:left="720" w:hanging="360"/>
      </w:pPr>
      <w:rPr>
        <w:rFonts w:ascii="Calibri" w:hAnsi="Calibri" w:hint="default"/>
        <w:b w:val="0"/>
        <w:i w:val="0"/>
        <w:sz w:val="22"/>
        <w:u w:color="4472C4"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456681"/>
    <w:multiLevelType w:val="hybridMultilevel"/>
    <w:tmpl w:val="48789C52"/>
    <w:lvl w:ilvl="0" w:tplc="C16CEB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A57AF4"/>
    <w:multiLevelType w:val="hybridMultilevel"/>
    <w:tmpl w:val="51C45FEA"/>
    <w:lvl w:ilvl="0" w:tplc="C16CEBA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8705967"/>
    <w:multiLevelType w:val="hybridMultilevel"/>
    <w:tmpl w:val="02CA61B0"/>
    <w:lvl w:ilvl="0" w:tplc="C16CEBA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9273A32"/>
    <w:multiLevelType w:val="hybridMultilevel"/>
    <w:tmpl w:val="C18E209C"/>
    <w:lvl w:ilvl="0" w:tplc="58B6CB3E">
      <w:start w:val="1"/>
      <w:numFmt w:val="lowerLetter"/>
      <w:lvlText w:val="%1)"/>
      <w:lvlJc w:val="left"/>
      <w:pPr>
        <w:ind w:left="360" w:hanging="360"/>
      </w:pPr>
      <w:rPr>
        <w:rFonts w:hint="default"/>
        <w:b/>
        <w:i w:val="0"/>
        <w:color w:val="auto"/>
        <w:sz w:val="22"/>
        <w:u w:color="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B5F5DED"/>
    <w:multiLevelType w:val="hybridMultilevel"/>
    <w:tmpl w:val="1EEA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BBE1A44"/>
    <w:multiLevelType w:val="hybridMultilevel"/>
    <w:tmpl w:val="CE203ECC"/>
    <w:lvl w:ilvl="0" w:tplc="58B6CB3E">
      <w:start w:val="1"/>
      <w:numFmt w:val="lowerLetter"/>
      <w:lvlText w:val="%1)"/>
      <w:lvlJc w:val="left"/>
      <w:pPr>
        <w:ind w:left="360" w:hanging="360"/>
      </w:pPr>
      <w:rPr>
        <w:rFonts w:hint="default"/>
        <w:b/>
        <w:i w:val="0"/>
        <w:color w:val="auto"/>
        <w:sz w:val="22"/>
        <w:u w:color="4472C4" w:themeColor="accent5"/>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C856AE0"/>
    <w:multiLevelType w:val="hybridMultilevel"/>
    <w:tmpl w:val="AA307F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D9E1503"/>
    <w:multiLevelType w:val="hybridMultilevel"/>
    <w:tmpl w:val="29225E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DEA7E55"/>
    <w:multiLevelType w:val="hybridMultilevel"/>
    <w:tmpl w:val="AF780F0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1" w15:restartNumberingAfterBreak="0">
    <w:nsid w:val="6E157260"/>
    <w:multiLevelType w:val="hybridMultilevel"/>
    <w:tmpl w:val="DE4E1B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21D1570"/>
    <w:multiLevelType w:val="hybridMultilevel"/>
    <w:tmpl w:val="59822582"/>
    <w:lvl w:ilvl="0" w:tplc="58B6CB3E">
      <w:start w:val="1"/>
      <w:numFmt w:val="lowerLetter"/>
      <w:lvlText w:val="%1)"/>
      <w:lvlJc w:val="left"/>
      <w:pPr>
        <w:ind w:left="360" w:hanging="360"/>
      </w:pPr>
      <w:rPr>
        <w:rFonts w:hint="default"/>
        <w:b/>
        <w:i w:val="0"/>
        <w:color w:val="auto"/>
        <w:sz w:val="22"/>
        <w:u w:color="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54A6AC5"/>
    <w:multiLevelType w:val="hybridMultilevel"/>
    <w:tmpl w:val="9FF618D2"/>
    <w:lvl w:ilvl="0" w:tplc="C16CEB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A92FC4"/>
    <w:multiLevelType w:val="hybridMultilevel"/>
    <w:tmpl w:val="5E94B7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77E6606"/>
    <w:multiLevelType w:val="hybridMultilevel"/>
    <w:tmpl w:val="6CE8667E"/>
    <w:lvl w:ilvl="0" w:tplc="C16CEB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E1119B"/>
    <w:multiLevelType w:val="hybridMultilevel"/>
    <w:tmpl w:val="50482F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A321591"/>
    <w:multiLevelType w:val="hybridMultilevel"/>
    <w:tmpl w:val="E2F8EF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A6076BF"/>
    <w:multiLevelType w:val="hybridMultilevel"/>
    <w:tmpl w:val="9496DD80"/>
    <w:lvl w:ilvl="0" w:tplc="FADECFE4">
      <w:start w:val="1"/>
      <w:numFmt w:val="decimal"/>
      <w:pStyle w:val="Heading1"/>
      <w:lvlText w:val="%1."/>
      <w:lvlJc w:val="left"/>
      <w:pPr>
        <w:ind w:left="3510" w:hanging="360"/>
      </w:pPr>
      <w:rPr>
        <w:rFonts w:ascii="Calibri" w:hAnsi="Calibri" w:hint="default"/>
        <w:b w:val="0"/>
        <w:i w:val="0"/>
        <w:sz w:val="36"/>
        <w:u w:color="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90452F"/>
    <w:multiLevelType w:val="hybridMultilevel"/>
    <w:tmpl w:val="A7C25D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0" w15:restartNumberingAfterBreak="0">
    <w:nsid w:val="7DBF6303"/>
    <w:multiLevelType w:val="hybridMultilevel"/>
    <w:tmpl w:val="8B56D2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E6C4F6F"/>
    <w:multiLevelType w:val="hybridMultilevel"/>
    <w:tmpl w:val="49525466"/>
    <w:lvl w:ilvl="0" w:tplc="08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2" w15:restartNumberingAfterBreak="0">
    <w:nsid w:val="7F7C04D5"/>
    <w:multiLevelType w:val="hybridMultilevel"/>
    <w:tmpl w:val="CF08E9B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4"/>
  </w:num>
  <w:num w:numId="3">
    <w:abstractNumId w:val="38"/>
  </w:num>
  <w:num w:numId="4">
    <w:abstractNumId w:val="5"/>
  </w:num>
  <w:num w:numId="5">
    <w:abstractNumId w:val="60"/>
  </w:num>
  <w:num w:numId="6">
    <w:abstractNumId w:val="53"/>
  </w:num>
  <w:num w:numId="7">
    <w:abstractNumId w:val="49"/>
  </w:num>
  <w:num w:numId="8">
    <w:abstractNumId w:val="24"/>
  </w:num>
  <w:num w:numId="9">
    <w:abstractNumId w:val="63"/>
  </w:num>
  <w:num w:numId="10">
    <w:abstractNumId w:val="52"/>
  </w:num>
  <w:num w:numId="11">
    <w:abstractNumId w:val="65"/>
  </w:num>
  <w:num w:numId="12">
    <w:abstractNumId w:val="61"/>
  </w:num>
  <w:num w:numId="13">
    <w:abstractNumId w:val="67"/>
  </w:num>
  <w:num w:numId="14">
    <w:abstractNumId w:val="44"/>
  </w:num>
  <w:num w:numId="15">
    <w:abstractNumId w:val="72"/>
  </w:num>
  <w:num w:numId="16">
    <w:abstractNumId w:val="10"/>
  </w:num>
  <w:num w:numId="17">
    <w:abstractNumId w:val="59"/>
  </w:num>
  <w:num w:numId="18">
    <w:abstractNumId w:val="18"/>
  </w:num>
  <w:num w:numId="19">
    <w:abstractNumId w:val="41"/>
  </w:num>
  <w:num w:numId="20">
    <w:abstractNumId w:val="46"/>
  </w:num>
  <w:num w:numId="21">
    <w:abstractNumId w:val="30"/>
  </w:num>
  <w:num w:numId="22">
    <w:abstractNumId w:val="7"/>
  </w:num>
  <w:num w:numId="23">
    <w:abstractNumId w:val="56"/>
  </w:num>
  <w:num w:numId="24">
    <w:abstractNumId w:val="45"/>
  </w:num>
  <w:num w:numId="25">
    <w:abstractNumId w:val="68"/>
  </w:num>
  <w:num w:numId="26">
    <w:abstractNumId w:val="9"/>
  </w:num>
  <w:num w:numId="27">
    <w:abstractNumId w:val="29"/>
  </w:num>
  <w:num w:numId="28">
    <w:abstractNumId w:val="69"/>
  </w:num>
  <w:num w:numId="29">
    <w:abstractNumId w:val="36"/>
  </w:num>
  <w:num w:numId="30">
    <w:abstractNumId w:val="70"/>
  </w:num>
  <w:num w:numId="31">
    <w:abstractNumId w:val="4"/>
  </w:num>
  <w:num w:numId="32">
    <w:abstractNumId w:val="2"/>
  </w:num>
  <w:num w:numId="33">
    <w:abstractNumId w:val="40"/>
  </w:num>
  <w:num w:numId="34">
    <w:abstractNumId w:val="34"/>
  </w:num>
  <w:num w:numId="35">
    <w:abstractNumId w:val="3"/>
  </w:num>
  <w:num w:numId="36">
    <w:abstractNumId w:val="15"/>
  </w:num>
  <w:num w:numId="37">
    <w:abstractNumId w:val="31"/>
  </w:num>
  <w:num w:numId="38">
    <w:abstractNumId w:val="16"/>
  </w:num>
  <w:num w:numId="39">
    <w:abstractNumId w:val="17"/>
  </w:num>
  <w:num w:numId="40">
    <w:abstractNumId w:val="62"/>
  </w:num>
  <w:num w:numId="41">
    <w:abstractNumId w:val="55"/>
  </w:num>
  <w:num w:numId="42">
    <w:abstractNumId w:val="14"/>
  </w:num>
  <w:num w:numId="43">
    <w:abstractNumId w:val="57"/>
  </w:num>
  <w:num w:numId="44">
    <w:abstractNumId w:val="35"/>
  </w:num>
  <w:num w:numId="45">
    <w:abstractNumId w:val="47"/>
  </w:num>
  <w:num w:numId="46">
    <w:abstractNumId w:val="1"/>
  </w:num>
  <w:num w:numId="47">
    <w:abstractNumId w:val="33"/>
  </w:num>
  <w:num w:numId="48">
    <w:abstractNumId w:val="50"/>
  </w:num>
  <w:num w:numId="49">
    <w:abstractNumId w:val="11"/>
  </w:num>
  <w:num w:numId="50">
    <w:abstractNumId w:val="20"/>
  </w:num>
  <w:num w:numId="51">
    <w:abstractNumId w:val="48"/>
  </w:num>
  <w:num w:numId="52">
    <w:abstractNumId w:val="28"/>
  </w:num>
  <w:num w:numId="53">
    <w:abstractNumId w:val="22"/>
  </w:num>
  <w:num w:numId="54">
    <w:abstractNumId w:val="6"/>
  </w:num>
  <w:num w:numId="55">
    <w:abstractNumId w:val="21"/>
  </w:num>
  <w:num w:numId="56">
    <w:abstractNumId w:val="66"/>
  </w:num>
  <w:num w:numId="57">
    <w:abstractNumId w:val="64"/>
  </w:num>
  <w:num w:numId="58">
    <w:abstractNumId w:val="42"/>
  </w:num>
  <w:num w:numId="59">
    <w:abstractNumId w:val="58"/>
  </w:num>
  <w:num w:numId="60">
    <w:abstractNumId w:val="32"/>
  </w:num>
  <w:num w:numId="61">
    <w:abstractNumId w:val="12"/>
  </w:num>
  <w:num w:numId="62">
    <w:abstractNumId w:val="26"/>
  </w:num>
  <w:num w:numId="63">
    <w:abstractNumId w:val="19"/>
  </w:num>
  <w:num w:numId="64">
    <w:abstractNumId w:val="43"/>
  </w:num>
  <w:num w:numId="65">
    <w:abstractNumId w:val="0"/>
  </w:num>
  <w:num w:numId="66">
    <w:abstractNumId w:val="39"/>
  </w:num>
  <w:num w:numId="67">
    <w:abstractNumId w:val="23"/>
  </w:num>
  <w:num w:numId="68">
    <w:abstractNumId w:val="27"/>
  </w:num>
  <w:num w:numId="69">
    <w:abstractNumId w:val="25"/>
  </w:num>
  <w:num w:numId="70">
    <w:abstractNumId w:val="51"/>
  </w:num>
  <w:num w:numId="71">
    <w:abstractNumId w:val="37"/>
  </w:num>
  <w:num w:numId="72">
    <w:abstractNumId w:val="8"/>
  </w:num>
  <w:num w:numId="73">
    <w:abstractNumId w:val="7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19"/>
    <w:rsid w:val="00000088"/>
    <w:rsid w:val="000019D3"/>
    <w:rsid w:val="000024AF"/>
    <w:rsid w:val="00003E0F"/>
    <w:rsid w:val="00004389"/>
    <w:rsid w:val="00005C5C"/>
    <w:rsid w:val="0000615B"/>
    <w:rsid w:val="000070F0"/>
    <w:rsid w:val="00007520"/>
    <w:rsid w:val="00007864"/>
    <w:rsid w:val="000101F6"/>
    <w:rsid w:val="00010AC2"/>
    <w:rsid w:val="00011034"/>
    <w:rsid w:val="000119D3"/>
    <w:rsid w:val="00011EB6"/>
    <w:rsid w:val="000120F5"/>
    <w:rsid w:val="0001266F"/>
    <w:rsid w:val="0001287D"/>
    <w:rsid w:val="00012B41"/>
    <w:rsid w:val="00012BA5"/>
    <w:rsid w:val="00012C85"/>
    <w:rsid w:val="00012CBF"/>
    <w:rsid w:val="00012CE3"/>
    <w:rsid w:val="00012DD2"/>
    <w:rsid w:val="000130BE"/>
    <w:rsid w:val="000143ED"/>
    <w:rsid w:val="000145A3"/>
    <w:rsid w:val="00014AD9"/>
    <w:rsid w:val="00014B86"/>
    <w:rsid w:val="000151F5"/>
    <w:rsid w:val="00015D20"/>
    <w:rsid w:val="00017706"/>
    <w:rsid w:val="00017DEA"/>
    <w:rsid w:val="000200BF"/>
    <w:rsid w:val="0002076D"/>
    <w:rsid w:val="0002149C"/>
    <w:rsid w:val="00021508"/>
    <w:rsid w:val="00021A70"/>
    <w:rsid w:val="00021CDF"/>
    <w:rsid w:val="00022406"/>
    <w:rsid w:val="000225FC"/>
    <w:rsid w:val="0002312F"/>
    <w:rsid w:val="00023241"/>
    <w:rsid w:val="000237B0"/>
    <w:rsid w:val="00023944"/>
    <w:rsid w:val="00024E82"/>
    <w:rsid w:val="0002543A"/>
    <w:rsid w:val="0002625E"/>
    <w:rsid w:val="000263A4"/>
    <w:rsid w:val="0002687C"/>
    <w:rsid w:val="00027B64"/>
    <w:rsid w:val="00027DAA"/>
    <w:rsid w:val="00030A87"/>
    <w:rsid w:val="00030B16"/>
    <w:rsid w:val="00030E48"/>
    <w:rsid w:val="000316C5"/>
    <w:rsid w:val="00031E5A"/>
    <w:rsid w:val="000327CE"/>
    <w:rsid w:val="000330A7"/>
    <w:rsid w:val="0003391C"/>
    <w:rsid w:val="00033A3F"/>
    <w:rsid w:val="00033AB5"/>
    <w:rsid w:val="00033F69"/>
    <w:rsid w:val="000346E2"/>
    <w:rsid w:val="00035275"/>
    <w:rsid w:val="00035878"/>
    <w:rsid w:val="00035F44"/>
    <w:rsid w:val="0004061A"/>
    <w:rsid w:val="0004108B"/>
    <w:rsid w:val="00041A47"/>
    <w:rsid w:val="00041C96"/>
    <w:rsid w:val="00041D70"/>
    <w:rsid w:val="00041F58"/>
    <w:rsid w:val="000423EF"/>
    <w:rsid w:val="00042ED0"/>
    <w:rsid w:val="0004335E"/>
    <w:rsid w:val="00043693"/>
    <w:rsid w:val="00044117"/>
    <w:rsid w:val="00044F79"/>
    <w:rsid w:val="00045397"/>
    <w:rsid w:val="0004605C"/>
    <w:rsid w:val="00046311"/>
    <w:rsid w:val="000471B0"/>
    <w:rsid w:val="00047690"/>
    <w:rsid w:val="0005013F"/>
    <w:rsid w:val="00050DD1"/>
    <w:rsid w:val="000514E4"/>
    <w:rsid w:val="00051715"/>
    <w:rsid w:val="00052002"/>
    <w:rsid w:val="000528B5"/>
    <w:rsid w:val="00052B4D"/>
    <w:rsid w:val="00052BA2"/>
    <w:rsid w:val="00052D72"/>
    <w:rsid w:val="00052E60"/>
    <w:rsid w:val="00053E9E"/>
    <w:rsid w:val="00053FB7"/>
    <w:rsid w:val="0005460B"/>
    <w:rsid w:val="00054AA3"/>
    <w:rsid w:val="00054FA3"/>
    <w:rsid w:val="00055087"/>
    <w:rsid w:val="00055CF6"/>
    <w:rsid w:val="00056956"/>
    <w:rsid w:val="00056B60"/>
    <w:rsid w:val="00056E44"/>
    <w:rsid w:val="00060172"/>
    <w:rsid w:val="000604DE"/>
    <w:rsid w:val="00060B04"/>
    <w:rsid w:val="00060BAA"/>
    <w:rsid w:val="00060C2D"/>
    <w:rsid w:val="00061A9F"/>
    <w:rsid w:val="00061E36"/>
    <w:rsid w:val="000629BF"/>
    <w:rsid w:val="000638AA"/>
    <w:rsid w:val="00063E0F"/>
    <w:rsid w:val="000651E4"/>
    <w:rsid w:val="000658D8"/>
    <w:rsid w:val="00065F52"/>
    <w:rsid w:val="000666BA"/>
    <w:rsid w:val="00066978"/>
    <w:rsid w:val="00066A0F"/>
    <w:rsid w:val="00066C6E"/>
    <w:rsid w:val="000670BA"/>
    <w:rsid w:val="0006771A"/>
    <w:rsid w:val="00067977"/>
    <w:rsid w:val="000707A7"/>
    <w:rsid w:val="00071159"/>
    <w:rsid w:val="00071F36"/>
    <w:rsid w:val="00071FFD"/>
    <w:rsid w:val="00072388"/>
    <w:rsid w:val="00073502"/>
    <w:rsid w:val="0007478E"/>
    <w:rsid w:val="00074AE3"/>
    <w:rsid w:val="00074BB5"/>
    <w:rsid w:val="00075C15"/>
    <w:rsid w:val="00075EE2"/>
    <w:rsid w:val="00076424"/>
    <w:rsid w:val="00076CFD"/>
    <w:rsid w:val="00076DCB"/>
    <w:rsid w:val="00076ECB"/>
    <w:rsid w:val="000770B3"/>
    <w:rsid w:val="00077AE8"/>
    <w:rsid w:val="000812A8"/>
    <w:rsid w:val="000817FD"/>
    <w:rsid w:val="00081FD1"/>
    <w:rsid w:val="000839F5"/>
    <w:rsid w:val="00083C01"/>
    <w:rsid w:val="00084422"/>
    <w:rsid w:val="000849F7"/>
    <w:rsid w:val="00084B2D"/>
    <w:rsid w:val="0008512B"/>
    <w:rsid w:val="00085365"/>
    <w:rsid w:val="000854F8"/>
    <w:rsid w:val="00085CF1"/>
    <w:rsid w:val="000864E4"/>
    <w:rsid w:val="0008708F"/>
    <w:rsid w:val="00087629"/>
    <w:rsid w:val="0009009A"/>
    <w:rsid w:val="0009086D"/>
    <w:rsid w:val="00090904"/>
    <w:rsid w:val="00090D0E"/>
    <w:rsid w:val="00091602"/>
    <w:rsid w:val="00092059"/>
    <w:rsid w:val="000920D9"/>
    <w:rsid w:val="000922BC"/>
    <w:rsid w:val="00092F3D"/>
    <w:rsid w:val="000936AD"/>
    <w:rsid w:val="00094185"/>
    <w:rsid w:val="00094206"/>
    <w:rsid w:val="00094F83"/>
    <w:rsid w:val="00095604"/>
    <w:rsid w:val="00095F63"/>
    <w:rsid w:val="0009648B"/>
    <w:rsid w:val="00096D14"/>
    <w:rsid w:val="0009726B"/>
    <w:rsid w:val="000972AC"/>
    <w:rsid w:val="000A0820"/>
    <w:rsid w:val="000A0DBD"/>
    <w:rsid w:val="000A1459"/>
    <w:rsid w:val="000A1CD5"/>
    <w:rsid w:val="000A1FCE"/>
    <w:rsid w:val="000A2041"/>
    <w:rsid w:val="000A221E"/>
    <w:rsid w:val="000A232B"/>
    <w:rsid w:val="000A2351"/>
    <w:rsid w:val="000A317D"/>
    <w:rsid w:val="000A3CB2"/>
    <w:rsid w:val="000A4988"/>
    <w:rsid w:val="000A4BE7"/>
    <w:rsid w:val="000A4D0C"/>
    <w:rsid w:val="000A528E"/>
    <w:rsid w:val="000A55CC"/>
    <w:rsid w:val="000A5D1D"/>
    <w:rsid w:val="000A5D72"/>
    <w:rsid w:val="000A6479"/>
    <w:rsid w:val="000A6BF0"/>
    <w:rsid w:val="000A7389"/>
    <w:rsid w:val="000A79D2"/>
    <w:rsid w:val="000B177B"/>
    <w:rsid w:val="000B1A77"/>
    <w:rsid w:val="000B2476"/>
    <w:rsid w:val="000B26D4"/>
    <w:rsid w:val="000B2936"/>
    <w:rsid w:val="000B29C4"/>
    <w:rsid w:val="000B32D6"/>
    <w:rsid w:val="000B3A27"/>
    <w:rsid w:val="000B3E63"/>
    <w:rsid w:val="000B4744"/>
    <w:rsid w:val="000B4DB1"/>
    <w:rsid w:val="000B50E8"/>
    <w:rsid w:val="000B53A0"/>
    <w:rsid w:val="000B578E"/>
    <w:rsid w:val="000B692F"/>
    <w:rsid w:val="000B6B39"/>
    <w:rsid w:val="000B6C04"/>
    <w:rsid w:val="000B6FB1"/>
    <w:rsid w:val="000B776F"/>
    <w:rsid w:val="000B7C63"/>
    <w:rsid w:val="000C2135"/>
    <w:rsid w:val="000C2265"/>
    <w:rsid w:val="000C2674"/>
    <w:rsid w:val="000C26B3"/>
    <w:rsid w:val="000C2732"/>
    <w:rsid w:val="000C297E"/>
    <w:rsid w:val="000C33D8"/>
    <w:rsid w:val="000C365E"/>
    <w:rsid w:val="000C3E5A"/>
    <w:rsid w:val="000C3F0C"/>
    <w:rsid w:val="000C3F42"/>
    <w:rsid w:val="000C4673"/>
    <w:rsid w:val="000C4C39"/>
    <w:rsid w:val="000C4FA9"/>
    <w:rsid w:val="000C5F2B"/>
    <w:rsid w:val="000C6264"/>
    <w:rsid w:val="000C68FF"/>
    <w:rsid w:val="000C6FF8"/>
    <w:rsid w:val="000C7374"/>
    <w:rsid w:val="000D03B2"/>
    <w:rsid w:val="000D0763"/>
    <w:rsid w:val="000D0E2A"/>
    <w:rsid w:val="000D168E"/>
    <w:rsid w:val="000D1D17"/>
    <w:rsid w:val="000D1D40"/>
    <w:rsid w:val="000D1DF2"/>
    <w:rsid w:val="000D3322"/>
    <w:rsid w:val="000D342C"/>
    <w:rsid w:val="000D3B55"/>
    <w:rsid w:val="000D3DAA"/>
    <w:rsid w:val="000D5052"/>
    <w:rsid w:val="000D5AB4"/>
    <w:rsid w:val="000D5ABB"/>
    <w:rsid w:val="000D5CF7"/>
    <w:rsid w:val="000D6995"/>
    <w:rsid w:val="000D7B37"/>
    <w:rsid w:val="000D7FD6"/>
    <w:rsid w:val="000E05E7"/>
    <w:rsid w:val="000E0949"/>
    <w:rsid w:val="000E096C"/>
    <w:rsid w:val="000E1742"/>
    <w:rsid w:val="000E2560"/>
    <w:rsid w:val="000E2ACD"/>
    <w:rsid w:val="000E3334"/>
    <w:rsid w:val="000E3377"/>
    <w:rsid w:val="000E4086"/>
    <w:rsid w:val="000E44EE"/>
    <w:rsid w:val="000E53C9"/>
    <w:rsid w:val="000E5FB6"/>
    <w:rsid w:val="000E61A4"/>
    <w:rsid w:val="000E63CA"/>
    <w:rsid w:val="000E718A"/>
    <w:rsid w:val="000F01BE"/>
    <w:rsid w:val="000F01C1"/>
    <w:rsid w:val="000F152A"/>
    <w:rsid w:val="000F17CA"/>
    <w:rsid w:val="000F1BFA"/>
    <w:rsid w:val="000F1E29"/>
    <w:rsid w:val="000F21FB"/>
    <w:rsid w:val="000F2355"/>
    <w:rsid w:val="000F2BB3"/>
    <w:rsid w:val="000F2FB8"/>
    <w:rsid w:val="000F3731"/>
    <w:rsid w:val="000F384C"/>
    <w:rsid w:val="000F3FD2"/>
    <w:rsid w:val="000F426D"/>
    <w:rsid w:val="000F4ECB"/>
    <w:rsid w:val="000F5512"/>
    <w:rsid w:val="000F5AF6"/>
    <w:rsid w:val="000F5C00"/>
    <w:rsid w:val="000F6096"/>
    <w:rsid w:val="000F617C"/>
    <w:rsid w:val="000F622C"/>
    <w:rsid w:val="000F6741"/>
    <w:rsid w:val="000F777F"/>
    <w:rsid w:val="0010062D"/>
    <w:rsid w:val="0010083F"/>
    <w:rsid w:val="001009B7"/>
    <w:rsid w:val="00101DA3"/>
    <w:rsid w:val="001035DB"/>
    <w:rsid w:val="00103B35"/>
    <w:rsid w:val="00104887"/>
    <w:rsid w:val="00105F46"/>
    <w:rsid w:val="0010602F"/>
    <w:rsid w:val="001063D1"/>
    <w:rsid w:val="0010736E"/>
    <w:rsid w:val="00107448"/>
    <w:rsid w:val="00107A51"/>
    <w:rsid w:val="00107CDF"/>
    <w:rsid w:val="00110035"/>
    <w:rsid w:val="00110056"/>
    <w:rsid w:val="001103A0"/>
    <w:rsid w:val="001105AC"/>
    <w:rsid w:val="00110E4F"/>
    <w:rsid w:val="00111484"/>
    <w:rsid w:val="001125E3"/>
    <w:rsid w:val="00112750"/>
    <w:rsid w:val="00112BA5"/>
    <w:rsid w:val="00113AD6"/>
    <w:rsid w:val="001146C6"/>
    <w:rsid w:val="00114D7A"/>
    <w:rsid w:val="00114DDB"/>
    <w:rsid w:val="00115FE0"/>
    <w:rsid w:val="001160C2"/>
    <w:rsid w:val="00116F3D"/>
    <w:rsid w:val="001173FA"/>
    <w:rsid w:val="00117B16"/>
    <w:rsid w:val="0012028D"/>
    <w:rsid w:val="001203F2"/>
    <w:rsid w:val="001204C1"/>
    <w:rsid w:val="00121FB8"/>
    <w:rsid w:val="00122122"/>
    <w:rsid w:val="001226FF"/>
    <w:rsid w:val="00123295"/>
    <w:rsid w:val="00123306"/>
    <w:rsid w:val="00123436"/>
    <w:rsid w:val="001250B9"/>
    <w:rsid w:val="00125F09"/>
    <w:rsid w:val="001264A1"/>
    <w:rsid w:val="001268DE"/>
    <w:rsid w:val="00126C3F"/>
    <w:rsid w:val="00130A8D"/>
    <w:rsid w:val="00131413"/>
    <w:rsid w:val="001314AA"/>
    <w:rsid w:val="00131E0C"/>
    <w:rsid w:val="00133D7D"/>
    <w:rsid w:val="00134134"/>
    <w:rsid w:val="001347B5"/>
    <w:rsid w:val="00134BE0"/>
    <w:rsid w:val="001355D8"/>
    <w:rsid w:val="00135B56"/>
    <w:rsid w:val="00135E81"/>
    <w:rsid w:val="0013761B"/>
    <w:rsid w:val="001379B2"/>
    <w:rsid w:val="00137E9A"/>
    <w:rsid w:val="0014011E"/>
    <w:rsid w:val="0014014E"/>
    <w:rsid w:val="0014078A"/>
    <w:rsid w:val="00141533"/>
    <w:rsid w:val="00142779"/>
    <w:rsid w:val="00142DED"/>
    <w:rsid w:val="00143A29"/>
    <w:rsid w:val="00143AB1"/>
    <w:rsid w:val="00144EE1"/>
    <w:rsid w:val="001456B1"/>
    <w:rsid w:val="001474CC"/>
    <w:rsid w:val="00147973"/>
    <w:rsid w:val="00150216"/>
    <w:rsid w:val="00150708"/>
    <w:rsid w:val="00150BFF"/>
    <w:rsid w:val="00151496"/>
    <w:rsid w:val="00151543"/>
    <w:rsid w:val="00152561"/>
    <w:rsid w:val="0015265D"/>
    <w:rsid w:val="0015390E"/>
    <w:rsid w:val="0015401A"/>
    <w:rsid w:val="001549E7"/>
    <w:rsid w:val="001554B2"/>
    <w:rsid w:val="001557C9"/>
    <w:rsid w:val="00155F42"/>
    <w:rsid w:val="001568EE"/>
    <w:rsid w:val="001568F5"/>
    <w:rsid w:val="00156D9A"/>
    <w:rsid w:val="0015762C"/>
    <w:rsid w:val="001601D5"/>
    <w:rsid w:val="001609BE"/>
    <w:rsid w:val="00160E68"/>
    <w:rsid w:val="00162536"/>
    <w:rsid w:val="001625CD"/>
    <w:rsid w:val="00163941"/>
    <w:rsid w:val="00163C3C"/>
    <w:rsid w:val="0016602B"/>
    <w:rsid w:val="001663A7"/>
    <w:rsid w:val="001673C1"/>
    <w:rsid w:val="001674D0"/>
    <w:rsid w:val="00167EFF"/>
    <w:rsid w:val="00170F41"/>
    <w:rsid w:val="00170FEE"/>
    <w:rsid w:val="00171BA7"/>
    <w:rsid w:val="001728EF"/>
    <w:rsid w:val="00172D8C"/>
    <w:rsid w:val="001730EF"/>
    <w:rsid w:val="001737BF"/>
    <w:rsid w:val="00176BDE"/>
    <w:rsid w:val="00177405"/>
    <w:rsid w:val="001775EF"/>
    <w:rsid w:val="00177B5D"/>
    <w:rsid w:val="00177ECD"/>
    <w:rsid w:val="00180047"/>
    <w:rsid w:val="001809BE"/>
    <w:rsid w:val="00180AEA"/>
    <w:rsid w:val="00180BEB"/>
    <w:rsid w:val="00180E85"/>
    <w:rsid w:val="00182112"/>
    <w:rsid w:val="00182A35"/>
    <w:rsid w:val="0018371C"/>
    <w:rsid w:val="00183949"/>
    <w:rsid w:val="001847FE"/>
    <w:rsid w:val="00184E17"/>
    <w:rsid w:val="00184FFE"/>
    <w:rsid w:val="00185A8F"/>
    <w:rsid w:val="00186B65"/>
    <w:rsid w:val="0018713B"/>
    <w:rsid w:val="00190C48"/>
    <w:rsid w:val="00191485"/>
    <w:rsid w:val="00191C71"/>
    <w:rsid w:val="00192887"/>
    <w:rsid w:val="00192914"/>
    <w:rsid w:val="00192BB1"/>
    <w:rsid w:val="00193C22"/>
    <w:rsid w:val="00194F42"/>
    <w:rsid w:val="00195020"/>
    <w:rsid w:val="00195184"/>
    <w:rsid w:val="00195D70"/>
    <w:rsid w:val="001962A8"/>
    <w:rsid w:val="0019693E"/>
    <w:rsid w:val="00196979"/>
    <w:rsid w:val="00196FE3"/>
    <w:rsid w:val="0019742D"/>
    <w:rsid w:val="0019791B"/>
    <w:rsid w:val="001A09AA"/>
    <w:rsid w:val="001A135C"/>
    <w:rsid w:val="001A1E39"/>
    <w:rsid w:val="001A2440"/>
    <w:rsid w:val="001A2BA4"/>
    <w:rsid w:val="001A2C0F"/>
    <w:rsid w:val="001A2F5B"/>
    <w:rsid w:val="001A31A6"/>
    <w:rsid w:val="001A3A97"/>
    <w:rsid w:val="001A4226"/>
    <w:rsid w:val="001A43B6"/>
    <w:rsid w:val="001A4FC0"/>
    <w:rsid w:val="001A5729"/>
    <w:rsid w:val="001A58DE"/>
    <w:rsid w:val="001A6792"/>
    <w:rsid w:val="001A6AD3"/>
    <w:rsid w:val="001A746F"/>
    <w:rsid w:val="001A7503"/>
    <w:rsid w:val="001A750B"/>
    <w:rsid w:val="001A7610"/>
    <w:rsid w:val="001A78E4"/>
    <w:rsid w:val="001B00EB"/>
    <w:rsid w:val="001B0467"/>
    <w:rsid w:val="001B0739"/>
    <w:rsid w:val="001B0897"/>
    <w:rsid w:val="001B16B1"/>
    <w:rsid w:val="001B1EE6"/>
    <w:rsid w:val="001B1F57"/>
    <w:rsid w:val="001B2002"/>
    <w:rsid w:val="001B2BD0"/>
    <w:rsid w:val="001B3522"/>
    <w:rsid w:val="001B3CD6"/>
    <w:rsid w:val="001B4D62"/>
    <w:rsid w:val="001B554D"/>
    <w:rsid w:val="001B5AE7"/>
    <w:rsid w:val="001B5BD4"/>
    <w:rsid w:val="001B60A3"/>
    <w:rsid w:val="001B6880"/>
    <w:rsid w:val="001B6CB4"/>
    <w:rsid w:val="001B75DA"/>
    <w:rsid w:val="001B7729"/>
    <w:rsid w:val="001B7D87"/>
    <w:rsid w:val="001B7FAE"/>
    <w:rsid w:val="001C0BC4"/>
    <w:rsid w:val="001C0DCD"/>
    <w:rsid w:val="001C1378"/>
    <w:rsid w:val="001C165B"/>
    <w:rsid w:val="001C200A"/>
    <w:rsid w:val="001C2116"/>
    <w:rsid w:val="001C2300"/>
    <w:rsid w:val="001C25C9"/>
    <w:rsid w:val="001C264B"/>
    <w:rsid w:val="001C305D"/>
    <w:rsid w:val="001C3080"/>
    <w:rsid w:val="001C321E"/>
    <w:rsid w:val="001C3237"/>
    <w:rsid w:val="001C3384"/>
    <w:rsid w:val="001C35F8"/>
    <w:rsid w:val="001C42FC"/>
    <w:rsid w:val="001C4AC8"/>
    <w:rsid w:val="001C4B84"/>
    <w:rsid w:val="001C5BF9"/>
    <w:rsid w:val="001C627C"/>
    <w:rsid w:val="001C694B"/>
    <w:rsid w:val="001C7D2E"/>
    <w:rsid w:val="001D0E87"/>
    <w:rsid w:val="001D0ED9"/>
    <w:rsid w:val="001D1FE0"/>
    <w:rsid w:val="001D204F"/>
    <w:rsid w:val="001D2484"/>
    <w:rsid w:val="001D2987"/>
    <w:rsid w:val="001D336E"/>
    <w:rsid w:val="001D4250"/>
    <w:rsid w:val="001D4293"/>
    <w:rsid w:val="001D4CE1"/>
    <w:rsid w:val="001D532B"/>
    <w:rsid w:val="001D5B89"/>
    <w:rsid w:val="001D5DB6"/>
    <w:rsid w:val="001D7668"/>
    <w:rsid w:val="001D7DB9"/>
    <w:rsid w:val="001E07E7"/>
    <w:rsid w:val="001E0E10"/>
    <w:rsid w:val="001E0EB8"/>
    <w:rsid w:val="001E1B08"/>
    <w:rsid w:val="001E1B9F"/>
    <w:rsid w:val="001E21FF"/>
    <w:rsid w:val="001E4459"/>
    <w:rsid w:val="001E4C15"/>
    <w:rsid w:val="001E5CB4"/>
    <w:rsid w:val="001E5D4A"/>
    <w:rsid w:val="001E775D"/>
    <w:rsid w:val="001E78CC"/>
    <w:rsid w:val="001E7CDB"/>
    <w:rsid w:val="001E7CFA"/>
    <w:rsid w:val="001F0422"/>
    <w:rsid w:val="001F0A0F"/>
    <w:rsid w:val="001F0FBC"/>
    <w:rsid w:val="001F1381"/>
    <w:rsid w:val="001F2C2A"/>
    <w:rsid w:val="001F5F79"/>
    <w:rsid w:val="001F6690"/>
    <w:rsid w:val="001F6733"/>
    <w:rsid w:val="0020040E"/>
    <w:rsid w:val="00200BD2"/>
    <w:rsid w:val="00200C82"/>
    <w:rsid w:val="00202D46"/>
    <w:rsid w:val="002041FF"/>
    <w:rsid w:val="00204837"/>
    <w:rsid w:val="002048AB"/>
    <w:rsid w:val="00204BAC"/>
    <w:rsid w:val="00204E1D"/>
    <w:rsid w:val="00206392"/>
    <w:rsid w:val="00206531"/>
    <w:rsid w:val="002077B5"/>
    <w:rsid w:val="00207873"/>
    <w:rsid w:val="00210E24"/>
    <w:rsid w:val="00210ED4"/>
    <w:rsid w:val="00211531"/>
    <w:rsid w:val="0021179B"/>
    <w:rsid w:val="00211957"/>
    <w:rsid w:val="00211B75"/>
    <w:rsid w:val="00211D09"/>
    <w:rsid w:val="00211F98"/>
    <w:rsid w:val="0021459B"/>
    <w:rsid w:val="0021472D"/>
    <w:rsid w:val="00215952"/>
    <w:rsid w:val="00215B44"/>
    <w:rsid w:val="00215D80"/>
    <w:rsid w:val="0021631B"/>
    <w:rsid w:val="00216D64"/>
    <w:rsid w:val="00216F5A"/>
    <w:rsid w:val="002173F8"/>
    <w:rsid w:val="002177B3"/>
    <w:rsid w:val="00220FD0"/>
    <w:rsid w:val="00222919"/>
    <w:rsid w:val="00222C40"/>
    <w:rsid w:val="00222C6C"/>
    <w:rsid w:val="00222E46"/>
    <w:rsid w:val="0022309A"/>
    <w:rsid w:val="002231B0"/>
    <w:rsid w:val="002246C0"/>
    <w:rsid w:val="00224AF6"/>
    <w:rsid w:val="00226A59"/>
    <w:rsid w:val="00226FC2"/>
    <w:rsid w:val="002279A8"/>
    <w:rsid w:val="00227A0F"/>
    <w:rsid w:val="002308E2"/>
    <w:rsid w:val="00230A1C"/>
    <w:rsid w:val="00230D97"/>
    <w:rsid w:val="002319FB"/>
    <w:rsid w:val="002320C0"/>
    <w:rsid w:val="002328F1"/>
    <w:rsid w:val="00233020"/>
    <w:rsid w:val="0023409D"/>
    <w:rsid w:val="00234503"/>
    <w:rsid w:val="00234E04"/>
    <w:rsid w:val="00234F62"/>
    <w:rsid w:val="00234F69"/>
    <w:rsid w:val="0023516A"/>
    <w:rsid w:val="002366EB"/>
    <w:rsid w:val="002366F1"/>
    <w:rsid w:val="00236745"/>
    <w:rsid w:val="00236A91"/>
    <w:rsid w:val="00236F05"/>
    <w:rsid w:val="0023707F"/>
    <w:rsid w:val="0023732A"/>
    <w:rsid w:val="002374E3"/>
    <w:rsid w:val="00240B27"/>
    <w:rsid w:val="00241457"/>
    <w:rsid w:val="00241532"/>
    <w:rsid w:val="00242269"/>
    <w:rsid w:val="002425BB"/>
    <w:rsid w:val="00242B21"/>
    <w:rsid w:val="0024392F"/>
    <w:rsid w:val="00243B05"/>
    <w:rsid w:val="00243C24"/>
    <w:rsid w:val="00243F4D"/>
    <w:rsid w:val="00243FB4"/>
    <w:rsid w:val="002443E7"/>
    <w:rsid w:val="00245DBD"/>
    <w:rsid w:val="002460D6"/>
    <w:rsid w:val="002469F4"/>
    <w:rsid w:val="002502C0"/>
    <w:rsid w:val="00250344"/>
    <w:rsid w:val="002507B7"/>
    <w:rsid w:val="00250E57"/>
    <w:rsid w:val="00250EDD"/>
    <w:rsid w:val="00251158"/>
    <w:rsid w:val="00251612"/>
    <w:rsid w:val="002541E2"/>
    <w:rsid w:val="00255805"/>
    <w:rsid w:val="00256BFC"/>
    <w:rsid w:val="002575C7"/>
    <w:rsid w:val="00257A47"/>
    <w:rsid w:val="00257D3A"/>
    <w:rsid w:val="00257E14"/>
    <w:rsid w:val="00260AEF"/>
    <w:rsid w:val="002616E2"/>
    <w:rsid w:val="002621B1"/>
    <w:rsid w:val="00262576"/>
    <w:rsid w:val="0026468D"/>
    <w:rsid w:val="002650F4"/>
    <w:rsid w:val="00265B23"/>
    <w:rsid w:val="00265C21"/>
    <w:rsid w:val="00265D87"/>
    <w:rsid w:val="00265E67"/>
    <w:rsid w:val="00266551"/>
    <w:rsid w:val="0026677E"/>
    <w:rsid w:val="002670AE"/>
    <w:rsid w:val="002676C8"/>
    <w:rsid w:val="00270576"/>
    <w:rsid w:val="00270D7B"/>
    <w:rsid w:val="00270F7C"/>
    <w:rsid w:val="002714E7"/>
    <w:rsid w:val="00271802"/>
    <w:rsid w:val="00271E67"/>
    <w:rsid w:val="00275671"/>
    <w:rsid w:val="00275F9E"/>
    <w:rsid w:val="0027666A"/>
    <w:rsid w:val="00276978"/>
    <w:rsid w:val="00277432"/>
    <w:rsid w:val="00280369"/>
    <w:rsid w:val="00280DA5"/>
    <w:rsid w:val="00280FA0"/>
    <w:rsid w:val="0028103D"/>
    <w:rsid w:val="0028121D"/>
    <w:rsid w:val="00281B4B"/>
    <w:rsid w:val="002820BE"/>
    <w:rsid w:val="002823E9"/>
    <w:rsid w:val="00282D8A"/>
    <w:rsid w:val="002846EF"/>
    <w:rsid w:val="00284D8F"/>
    <w:rsid w:val="00284ED2"/>
    <w:rsid w:val="0028631F"/>
    <w:rsid w:val="00286D65"/>
    <w:rsid w:val="00286E5F"/>
    <w:rsid w:val="00290C47"/>
    <w:rsid w:val="002911CB"/>
    <w:rsid w:val="002914D2"/>
    <w:rsid w:val="002918F4"/>
    <w:rsid w:val="00291BDC"/>
    <w:rsid w:val="00291EF7"/>
    <w:rsid w:val="00292028"/>
    <w:rsid w:val="00292DDF"/>
    <w:rsid w:val="00294CBD"/>
    <w:rsid w:val="00294F74"/>
    <w:rsid w:val="00295B49"/>
    <w:rsid w:val="002969BB"/>
    <w:rsid w:val="002971C8"/>
    <w:rsid w:val="00297472"/>
    <w:rsid w:val="002975B7"/>
    <w:rsid w:val="002975FF"/>
    <w:rsid w:val="00297E56"/>
    <w:rsid w:val="00297ED4"/>
    <w:rsid w:val="002A0A1A"/>
    <w:rsid w:val="002A0E14"/>
    <w:rsid w:val="002A1999"/>
    <w:rsid w:val="002A1FD0"/>
    <w:rsid w:val="002A254F"/>
    <w:rsid w:val="002A31E3"/>
    <w:rsid w:val="002A341C"/>
    <w:rsid w:val="002A3751"/>
    <w:rsid w:val="002A3CEB"/>
    <w:rsid w:val="002A4613"/>
    <w:rsid w:val="002A4642"/>
    <w:rsid w:val="002A4A6E"/>
    <w:rsid w:val="002A6781"/>
    <w:rsid w:val="002A6880"/>
    <w:rsid w:val="002A7213"/>
    <w:rsid w:val="002A75BD"/>
    <w:rsid w:val="002B0067"/>
    <w:rsid w:val="002B07E0"/>
    <w:rsid w:val="002B14D5"/>
    <w:rsid w:val="002B1F7B"/>
    <w:rsid w:val="002B24A0"/>
    <w:rsid w:val="002B2F5A"/>
    <w:rsid w:val="002B3103"/>
    <w:rsid w:val="002B3161"/>
    <w:rsid w:val="002B35C3"/>
    <w:rsid w:val="002B4AF0"/>
    <w:rsid w:val="002B4BC9"/>
    <w:rsid w:val="002B58D7"/>
    <w:rsid w:val="002B6442"/>
    <w:rsid w:val="002B686B"/>
    <w:rsid w:val="002B6877"/>
    <w:rsid w:val="002B6CD8"/>
    <w:rsid w:val="002B6DD8"/>
    <w:rsid w:val="002B7907"/>
    <w:rsid w:val="002B7C3A"/>
    <w:rsid w:val="002C0468"/>
    <w:rsid w:val="002C09DB"/>
    <w:rsid w:val="002C0FA1"/>
    <w:rsid w:val="002C1C22"/>
    <w:rsid w:val="002C1C55"/>
    <w:rsid w:val="002C1E7F"/>
    <w:rsid w:val="002C1FD5"/>
    <w:rsid w:val="002C2AE2"/>
    <w:rsid w:val="002C39A4"/>
    <w:rsid w:val="002C39B0"/>
    <w:rsid w:val="002C42AC"/>
    <w:rsid w:val="002C4621"/>
    <w:rsid w:val="002C49BB"/>
    <w:rsid w:val="002C572C"/>
    <w:rsid w:val="002C5916"/>
    <w:rsid w:val="002C64CD"/>
    <w:rsid w:val="002C67A0"/>
    <w:rsid w:val="002C7097"/>
    <w:rsid w:val="002C747E"/>
    <w:rsid w:val="002C7F4B"/>
    <w:rsid w:val="002D0C58"/>
    <w:rsid w:val="002D0C78"/>
    <w:rsid w:val="002D0DCC"/>
    <w:rsid w:val="002D11A0"/>
    <w:rsid w:val="002D181B"/>
    <w:rsid w:val="002D2E89"/>
    <w:rsid w:val="002D300F"/>
    <w:rsid w:val="002D3A6D"/>
    <w:rsid w:val="002D483C"/>
    <w:rsid w:val="002D4F85"/>
    <w:rsid w:val="002D5446"/>
    <w:rsid w:val="002D5727"/>
    <w:rsid w:val="002D721F"/>
    <w:rsid w:val="002D78E1"/>
    <w:rsid w:val="002D7B7F"/>
    <w:rsid w:val="002D7F67"/>
    <w:rsid w:val="002E08AD"/>
    <w:rsid w:val="002E3F92"/>
    <w:rsid w:val="002E4328"/>
    <w:rsid w:val="002E5350"/>
    <w:rsid w:val="002E545E"/>
    <w:rsid w:val="002E6502"/>
    <w:rsid w:val="002E6FD4"/>
    <w:rsid w:val="002E7DB9"/>
    <w:rsid w:val="002F0570"/>
    <w:rsid w:val="002F252F"/>
    <w:rsid w:val="002F2557"/>
    <w:rsid w:val="002F26C7"/>
    <w:rsid w:val="002F2DB3"/>
    <w:rsid w:val="002F464D"/>
    <w:rsid w:val="002F47B0"/>
    <w:rsid w:val="002F57E4"/>
    <w:rsid w:val="002F587B"/>
    <w:rsid w:val="002F59D0"/>
    <w:rsid w:val="00301436"/>
    <w:rsid w:val="0030212E"/>
    <w:rsid w:val="003025CE"/>
    <w:rsid w:val="00302B13"/>
    <w:rsid w:val="0030337C"/>
    <w:rsid w:val="00303D7F"/>
    <w:rsid w:val="00303E5C"/>
    <w:rsid w:val="00304BD7"/>
    <w:rsid w:val="00305737"/>
    <w:rsid w:val="00306BA2"/>
    <w:rsid w:val="00306F08"/>
    <w:rsid w:val="003074AB"/>
    <w:rsid w:val="00307621"/>
    <w:rsid w:val="003111B6"/>
    <w:rsid w:val="00312231"/>
    <w:rsid w:val="003129D0"/>
    <w:rsid w:val="00312C56"/>
    <w:rsid w:val="00313E07"/>
    <w:rsid w:val="00314297"/>
    <w:rsid w:val="00315738"/>
    <w:rsid w:val="0031609D"/>
    <w:rsid w:val="00316118"/>
    <w:rsid w:val="003174C6"/>
    <w:rsid w:val="00320853"/>
    <w:rsid w:val="00320896"/>
    <w:rsid w:val="0032191F"/>
    <w:rsid w:val="00321F92"/>
    <w:rsid w:val="0032224C"/>
    <w:rsid w:val="0032298C"/>
    <w:rsid w:val="0032387B"/>
    <w:rsid w:val="00324834"/>
    <w:rsid w:val="00324969"/>
    <w:rsid w:val="00324EA7"/>
    <w:rsid w:val="00324F02"/>
    <w:rsid w:val="003255A1"/>
    <w:rsid w:val="00326B07"/>
    <w:rsid w:val="00327584"/>
    <w:rsid w:val="00327AFE"/>
    <w:rsid w:val="00327D5F"/>
    <w:rsid w:val="00327DA0"/>
    <w:rsid w:val="003302C7"/>
    <w:rsid w:val="00330691"/>
    <w:rsid w:val="00331539"/>
    <w:rsid w:val="003321DC"/>
    <w:rsid w:val="00332F08"/>
    <w:rsid w:val="00333D4F"/>
    <w:rsid w:val="003347E9"/>
    <w:rsid w:val="003347EA"/>
    <w:rsid w:val="00334BAD"/>
    <w:rsid w:val="0033566E"/>
    <w:rsid w:val="00336500"/>
    <w:rsid w:val="003366E9"/>
    <w:rsid w:val="00336775"/>
    <w:rsid w:val="00336CD4"/>
    <w:rsid w:val="00336EB3"/>
    <w:rsid w:val="00340B4D"/>
    <w:rsid w:val="00341331"/>
    <w:rsid w:val="0034141B"/>
    <w:rsid w:val="0034193D"/>
    <w:rsid w:val="00341DCD"/>
    <w:rsid w:val="0034275A"/>
    <w:rsid w:val="00342D86"/>
    <w:rsid w:val="003432D7"/>
    <w:rsid w:val="00344919"/>
    <w:rsid w:val="00344D84"/>
    <w:rsid w:val="00344D9C"/>
    <w:rsid w:val="003451F1"/>
    <w:rsid w:val="00345461"/>
    <w:rsid w:val="003465ED"/>
    <w:rsid w:val="0034733D"/>
    <w:rsid w:val="00347418"/>
    <w:rsid w:val="00347E84"/>
    <w:rsid w:val="00350668"/>
    <w:rsid w:val="003514F6"/>
    <w:rsid w:val="00351700"/>
    <w:rsid w:val="00351FB3"/>
    <w:rsid w:val="0035335A"/>
    <w:rsid w:val="003542BB"/>
    <w:rsid w:val="003545A6"/>
    <w:rsid w:val="00354785"/>
    <w:rsid w:val="00354AE7"/>
    <w:rsid w:val="0035738A"/>
    <w:rsid w:val="003576ED"/>
    <w:rsid w:val="0035783E"/>
    <w:rsid w:val="00357BB7"/>
    <w:rsid w:val="003600F9"/>
    <w:rsid w:val="00360A78"/>
    <w:rsid w:val="003612F5"/>
    <w:rsid w:val="003615F1"/>
    <w:rsid w:val="00361865"/>
    <w:rsid w:val="003626A5"/>
    <w:rsid w:val="00362D06"/>
    <w:rsid w:val="003636E6"/>
    <w:rsid w:val="003639BF"/>
    <w:rsid w:val="00363FAB"/>
    <w:rsid w:val="003640FF"/>
    <w:rsid w:val="003643F0"/>
    <w:rsid w:val="00364ADD"/>
    <w:rsid w:val="0036537A"/>
    <w:rsid w:val="003654E5"/>
    <w:rsid w:val="00365799"/>
    <w:rsid w:val="00365802"/>
    <w:rsid w:val="00366230"/>
    <w:rsid w:val="003675C1"/>
    <w:rsid w:val="003678F4"/>
    <w:rsid w:val="00367CCF"/>
    <w:rsid w:val="00370219"/>
    <w:rsid w:val="00370C4D"/>
    <w:rsid w:val="00371869"/>
    <w:rsid w:val="0037261C"/>
    <w:rsid w:val="00372ED1"/>
    <w:rsid w:val="00374A00"/>
    <w:rsid w:val="00374F13"/>
    <w:rsid w:val="00375537"/>
    <w:rsid w:val="0037563C"/>
    <w:rsid w:val="003757AD"/>
    <w:rsid w:val="00375BC6"/>
    <w:rsid w:val="00376C9E"/>
    <w:rsid w:val="00376DA3"/>
    <w:rsid w:val="003775A5"/>
    <w:rsid w:val="003801C8"/>
    <w:rsid w:val="00380B9A"/>
    <w:rsid w:val="00380DB3"/>
    <w:rsid w:val="00380F61"/>
    <w:rsid w:val="00380F67"/>
    <w:rsid w:val="0038113B"/>
    <w:rsid w:val="00381B04"/>
    <w:rsid w:val="00381B94"/>
    <w:rsid w:val="00381D93"/>
    <w:rsid w:val="00383804"/>
    <w:rsid w:val="003850F7"/>
    <w:rsid w:val="00385138"/>
    <w:rsid w:val="00385AF8"/>
    <w:rsid w:val="00385DD1"/>
    <w:rsid w:val="00386052"/>
    <w:rsid w:val="003860F9"/>
    <w:rsid w:val="00386286"/>
    <w:rsid w:val="00387CB1"/>
    <w:rsid w:val="00390066"/>
    <w:rsid w:val="0039061A"/>
    <w:rsid w:val="00390F16"/>
    <w:rsid w:val="00390F9A"/>
    <w:rsid w:val="00391DAA"/>
    <w:rsid w:val="003924F6"/>
    <w:rsid w:val="0039298F"/>
    <w:rsid w:val="0039354C"/>
    <w:rsid w:val="003952AB"/>
    <w:rsid w:val="00395316"/>
    <w:rsid w:val="00395E11"/>
    <w:rsid w:val="003961D3"/>
    <w:rsid w:val="003968D3"/>
    <w:rsid w:val="003973E1"/>
    <w:rsid w:val="003A01DE"/>
    <w:rsid w:val="003A01F7"/>
    <w:rsid w:val="003A05B7"/>
    <w:rsid w:val="003A1296"/>
    <w:rsid w:val="003A1401"/>
    <w:rsid w:val="003A21FE"/>
    <w:rsid w:val="003A2364"/>
    <w:rsid w:val="003A263E"/>
    <w:rsid w:val="003A2AB5"/>
    <w:rsid w:val="003A3775"/>
    <w:rsid w:val="003A3D35"/>
    <w:rsid w:val="003A4D72"/>
    <w:rsid w:val="003A4EAC"/>
    <w:rsid w:val="003A67CF"/>
    <w:rsid w:val="003A6FC9"/>
    <w:rsid w:val="003B0026"/>
    <w:rsid w:val="003B02CA"/>
    <w:rsid w:val="003B0F7C"/>
    <w:rsid w:val="003B1D9A"/>
    <w:rsid w:val="003B1EB7"/>
    <w:rsid w:val="003B27BB"/>
    <w:rsid w:val="003B29C9"/>
    <w:rsid w:val="003B2BA7"/>
    <w:rsid w:val="003B330E"/>
    <w:rsid w:val="003B34F5"/>
    <w:rsid w:val="003B3CF7"/>
    <w:rsid w:val="003B440B"/>
    <w:rsid w:val="003B465E"/>
    <w:rsid w:val="003B4D70"/>
    <w:rsid w:val="003B548D"/>
    <w:rsid w:val="003B5C72"/>
    <w:rsid w:val="003B62FC"/>
    <w:rsid w:val="003B63B8"/>
    <w:rsid w:val="003B6534"/>
    <w:rsid w:val="003B6644"/>
    <w:rsid w:val="003B668F"/>
    <w:rsid w:val="003B70D6"/>
    <w:rsid w:val="003B78DF"/>
    <w:rsid w:val="003B7E67"/>
    <w:rsid w:val="003C01BA"/>
    <w:rsid w:val="003C0962"/>
    <w:rsid w:val="003C161C"/>
    <w:rsid w:val="003C2019"/>
    <w:rsid w:val="003C2399"/>
    <w:rsid w:val="003C2445"/>
    <w:rsid w:val="003C2A5F"/>
    <w:rsid w:val="003C38BC"/>
    <w:rsid w:val="003C3C5C"/>
    <w:rsid w:val="003C4369"/>
    <w:rsid w:val="003C4473"/>
    <w:rsid w:val="003C4D8F"/>
    <w:rsid w:val="003C6AE0"/>
    <w:rsid w:val="003C7DFA"/>
    <w:rsid w:val="003D08DC"/>
    <w:rsid w:val="003D0CF8"/>
    <w:rsid w:val="003D0D62"/>
    <w:rsid w:val="003D1517"/>
    <w:rsid w:val="003D1F49"/>
    <w:rsid w:val="003D22EE"/>
    <w:rsid w:val="003D2A53"/>
    <w:rsid w:val="003D3820"/>
    <w:rsid w:val="003D3B2E"/>
    <w:rsid w:val="003D3C48"/>
    <w:rsid w:val="003D3D0B"/>
    <w:rsid w:val="003D558F"/>
    <w:rsid w:val="003D5617"/>
    <w:rsid w:val="003D5827"/>
    <w:rsid w:val="003D5842"/>
    <w:rsid w:val="003D61EB"/>
    <w:rsid w:val="003D6298"/>
    <w:rsid w:val="003D6348"/>
    <w:rsid w:val="003D6580"/>
    <w:rsid w:val="003D77C6"/>
    <w:rsid w:val="003D7891"/>
    <w:rsid w:val="003D7BE7"/>
    <w:rsid w:val="003E0C01"/>
    <w:rsid w:val="003E0DB6"/>
    <w:rsid w:val="003E1748"/>
    <w:rsid w:val="003E3135"/>
    <w:rsid w:val="003E36CC"/>
    <w:rsid w:val="003E4794"/>
    <w:rsid w:val="003E5285"/>
    <w:rsid w:val="003E535D"/>
    <w:rsid w:val="003E58B2"/>
    <w:rsid w:val="003E5BB6"/>
    <w:rsid w:val="003E5BF9"/>
    <w:rsid w:val="003E6011"/>
    <w:rsid w:val="003E6420"/>
    <w:rsid w:val="003E66C9"/>
    <w:rsid w:val="003E6B4B"/>
    <w:rsid w:val="003E777F"/>
    <w:rsid w:val="003F032E"/>
    <w:rsid w:val="003F07C4"/>
    <w:rsid w:val="003F08F4"/>
    <w:rsid w:val="003F0CA7"/>
    <w:rsid w:val="003F0E3A"/>
    <w:rsid w:val="003F1040"/>
    <w:rsid w:val="003F1EE7"/>
    <w:rsid w:val="003F20EA"/>
    <w:rsid w:val="003F2428"/>
    <w:rsid w:val="003F261E"/>
    <w:rsid w:val="003F2665"/>
    <w:rsid w:val="003F2EA7"/>
    <w:rsid w:val="003F2FFE"/>
    <w:rsid w:val="003F3100"/>
    <w:rsid w:val="003F3204"/>
    <w:rsid w:val="003F3DE2"/>
    <w:rsid w:val="003F45F9"/>
    <w:rsid w:val="003F4AF6"/>
    <w:rsid w:val="003F4B35"/>
    <w:rsid w:val="003F549F"/>
    <w:rsid w:val="003F5CCB"/>
    <w:rsid w:val="003F6140"/>
    <w:rsid w:val="003F7AD1"/>
    <w:rsid w:val="00400D73"/>
    <w:rsid w:val="00401130"/>
    <w:rsid w:val="004012B7"/>
    <w:rsid w:val="004019C0"/>
    <w:rsid w:val="00402228"/>
    <w:rsid w:val="004023C7"/>
    <w:rsid w:val="00404784"/>
    <w:rsid w:val="004048FB"/>
    <w:rsid w:val="004068F3"/>
    <w:rsid w:val="00406A03"/>
    <w:rsid w:val="00406E38"/>
    <w:rsid w:val="0040758B"/>
    <w:rsid w:val="00407A00"/>
    <w:rsid w:val="00407E2C"/>
    <w:rsid w:val="00411B9C"/>
    <w:rsid w:val="00412B73"/>
    <w:rsid w:val="00413107"/>
    <w:rsid w:val="004135C8"/>
    <w:rsid w:val="004140EC"/>
    <w:rsid w:val="00414244"/>
    <w:rsid w:val="00414292"/>
    <w:rsid w:val="00414574"/>
    <w:rsid w:val="00414855"/>
    <w:rsid w:val="0041522C"/>
    <w:rsid w:val="0041650E"/>
    <w:rsid w:val="0041688E"/>
    <w:rsid w:val="00416C8C"/>
    <w:rsid w:val="00420523"/>
    <w:rsid w:val="00420D6A"/>
    <w:rsid w:val="004211CE"/>
    <w:rsid w:val="004212F0"/>
    <w:rsid w:val="004216E4"/>
    <w:rsid w:val="00421919"/>
    <w:rsid w:val="00421BE7"/>
    <w:rsid w:val="004223C9"/>
    <w:rsid w:val="00422A08"/>
    <w:rsid w:val="004232BA"/>
    <w:rsid w:val="00423544"/>
    <w:rsid w:val="0042386A"/>
    <w:rsid w:val="00424358"/>
    <w:rsid w:val="004252B3"/>
    <w:rsid w:val="00425650"/>
    <w:rsid w:val="0042571A"/>
    <w:rsid w:val="00425B99"/>
    <w:rsid w:val="004264D1"/>
    <w:rsid w:val="00426A36"/>
    <w:rsid w:val="00427021"/>
    <w:rsid w:val="00427C22"/>
    <w:rsid w:val="004307D3"/>
    <w:rsid w:val="00430BAE"/>
    <w:rsid w:val="00431139"/>
    <w:rsid w:val="004325F7"/>
    <w:rsid w:val="004343DF"/>
    <w:rsid w:val="0043463D"/>
    <w:rsid w:val="00435787"/>
    <w:rsid w:val="004358CB"/>
    <w:rsid w:val="00436394"/>
    <w:rsid w:val="004400C0"/>
    <w:rsid w:val="00440132"/>
    <w:rsid w:val="0044027B"/>
    <w:rsid w:val="00440391"/>
    <w:rsid w:val="00440F2E"/>
    <w:rsid w:val="00442244"/>
    <w:rsid w:val="00442E78"/>
    <w:rsid w:val="004430BE"/>
    <w:rsid w:val="0044375E"/>
    <w:rsid w:val="004443DA"/>
    <w:rsid w:val="004446CD"/>
    <w:rsid w:val="00444B01"/>
    <w:rsid w:val="00444EF6"/>
    <w:rsid w:val="00444F03"/>
    <w:rsid w:val="00444F08"/>
    <w:rsid w:val="0044568F"/>
    <w:rsid w:val="0044627B"/>
    <w:rsid w:val="00446E70"/>
    <w:rsid w:val="00447123"/>
    <w:rsid w:val="004472C2"/>
    <w:rsid w:val="004474D6"/>
    <w:rsid w:val="0044769F"/>
    <w:rsid w:val="004478E1"/>
    <w:rsid w:val="00447AE6"/>
    <w:rsid w:val="00450F5B"/>
    <w:rsid w:val="00452ACF"/>
    <w:rsid w:val="00452C43"/>
    <w:rsid w:val="00452D70"/>
    <w:rsid w:val="00453A67"/>
    <w:rsid w:val="004547FD"/>
    <w:rsid w:val="004559A7"/>
    <w:rsid w:val="004559FB"/>
    <w:rsid w:val="00456B11"/>
    <w:rsid w:val="00457164"/>
    <w:rsid w:val="00457223"/>
    <w:rsid w:val="00457D06"/>
    <w:rsid w:val="0046083F"/>
    <w:rsid w:val="00460AFB"/>
    <w:rsid w:val="00460BAA"/>
    <w:rsid w:val="00460C2F"/>
    <w:rsid w:val="00461189"/>
    <w:rsid w:val="00461DD0"/>
    <w:rsid w:val="0046291F"/>
    <w:rsid w:val="00462A1B"/>
    <w:rsid w:val="004630BF"/>
    <w:rsid w:val="00463362"/>
    <w:rsid w:val="00463571"/>
    <w:rsid w:val="0046365D"/>
    <w:rsid w:val="0046381F"/>
    <w:rsid w:val="0046409C"/>
    <w:rsid w:val="00464AD9"/>
    <w:rsid w:val="00464F4E"/>
    <w:rsid w:val="0046529B"/>
    <w:rsid w:val="004657DB"/>
    <w:rsid w:val="004661D4"/>
    <w:rsid w:val="00466975"/>
    <w:rsid w:val="00466DB7"/>
    <w:rsid w:val="00467637"/>
    <w:rsid w:val="00467AE4"/>
    <w:rsid w:val="00467B7A"/>
    <w:rsid w:val="0047024B"/>
    <w:rsid w:val="004706F6"/>
    <w:rsid w:val="00470ACD"/>
    <w:rsid w:val="0047134E"/>
    <w:rsid w:val="00471A19"/>
    <w:rsid w:val="00471ABF"/>
    <w:rsid w:val="00471B53"/>
    <w:rsid w:val="00472194"/>
    <w:rsid w:val="004722CB"/>
    <w:rsid w:val="004744AF"/>
    <w:rsid w:val="00474956"/>
    <w:rsid w:val="00474B15"/>
    <w:rsid w:val="004758EA"/>
    <w:rsid w:val="00475F90"/>
    <w:rsid w:val="00476099"/>
    <w:rsid w:val="0047684F"/>
    <w:rsid w:val="00476F7D"/>
    <w:rsid w:val="0047707B"/>
    <w:rsid w:val="004779F9"/>
    <w:rsid w:val="00481679"/>
    <w:rsid w:val="00482120"/>
    <w:rsid w:val="004829A2"/>
    <w:rsid w:val="00482FC6"/>
    <w:rsid w:val="004834C7"/>
    <w:rsid w:val="0048357A"/>
    <w:rsid w:val="00483FB9"/>
    <w:rsid w:val="004843DC"/>
    <w:rsid w:val="0048462B"/>
    <w:rsid w:val="0048474D"/>
    <w:rsid w:val="00484E76"/>
    <w:rsid w:val="004854D3"/>
    <w:rsid w:val="004858C0"/>
    <w:rsid w:val="004868AC"/>
    <w:rsid w:val="00486A89"/>
    <w:rsid w:val="0048707E"/>
    <w:rsid w:val="00487664"/>
    <w:rsid w:val="00487BD0"/>
    <w:rsid w:val="00487F6F"/>
    <w:rsid w:val="00491261"/>
    <w:rsid w:val="00491B7C"/>
    <w:rsid w:val="004923FA"/>
    <w:rsid w:val="00492BA2"/>
    <w:rsid w:val="00493D02"/>
    <w:rsid w:val="00493D16"/>
    <w:rsid w:val="004940FA"/>
    <w:rsid w:val="004946CD"/>
    <w:rsid w:val="00495598"/>
    <w:rsid w:val="00495687"/>
    <w:rsid w:val="004958A2"/>
    <w:rsid w:val="00495944"/>
    <w:rsid w:val="0049646D"/>
    <w:rsid w:val="00497950"/>
    <w:rsid w:val="00497EB0"/>
    <w:rsid w:val="004A025E"/>
    <w:rsid w:val="004A05E1"/>
    <w:rsid w:val="004A0CD5"/>
    <w:rsid w:val="004A1019"/>
    <w:rsid w:val="004A114A"/>
    <w:rsid w:val="004A11C6"/>
    <w:rsid w:val="004A1B64"/>
    <w:rsid w:val="004A2467"/>
    <w:rsid w:val="004A265B"/>
    <w:rsid w:val="004A5063"/>
    <w:rsid w:val="004A6916"/>
    <w:rsid w:val="004A6A90"/>
    <w:rsid w:val="004A754A"/>
    <w:rsid w:val="004A77D0"/>
    <w:rsid w:val="004A7941"/>
    <w:rsid w:val="004A7BAD"/>
    <w:rsid w:val="004A7E6C"/>
    <w:rsid w:val="004B021B"/>
    <w:rsid w:val="004B04EA"/>
    <w:rsid w:val="004B0AAA"/>
    <w:rsid w:val="004B1946"/>
    <w:rsid w:val="004B1A1E"/>
    <w:rsid w:val="004B2154"/>
    <w:rsid w:val="004B2685"/>
    <w:rsid w:val="004B2A80"/>
    <w:rsid w:val="004B2E2E"/>
    <w:rsid w:val="004B473F"/>
    <w:rsid w:val="004B6782"/>
    <w:rsid w:val="004B682E"/>
    <w:rsid w:val="004B6C7C"/>
    <w:rsid w:val="004B70AD"/>
    <w:rsid w:val="004B738A"/>
    <w:rsid w:val="004B7578"/>
    <w:rsid w:val="004C188A"/>
    <w:rsid w:val="004C19DA"/>
    <w:rsid w:val="004C1EF2"/>
    <w:rsid w:val="004C201F"/>
    <w:rsid w:val="004C2673"/>
    <w:rsid w:val="004C2C09"/>
    <w:rsid w:val="004C37D0"/>
    <w:rsid w:val="004C3B9B"/>
    <w:rsid w:val="004C4EAA"/>
    <w:rsid w:val="004C617F"/>
    <w:rsid w:val="004C6AB7"/>
    <w:rsid w:val="004C6FA0"/>
    <w:rsid w:val="004C75EE"/>
    <w:rsid w:val="004C7840"/>
    <w:rsid w:val="004C7AB0"/>
    <w:rsid w:val="004C7B55"/>
    <w:rsid w:val="004D05AA"/>
    <w:rsid w:val="004D061B"/>
    <w:rsid w:val="004D0FF3"/>
    <w:rsid w:val="004D1729"/>
    <w:rsid w:val="004D173B"/>
    <w:rsid w:val="004D198E"/>
    <w:rsid w:val="004D1A5B"/>
    <w:rsid w:val="004D224D"/>
    <w:rsid w:val="004D238E"/>
    <w:rsid w:val="004D307D"/>
    <w:rsid w:val="004D3177"/>
    <w:rsid w:val="004D3B07"/>
    <w:rsid w:val="004D3F2D"/>
    <w:rsid w:val="004D44CF"/>
    <w:rsid w:val="004D4AF0"/>
    <w:rsid w:val="004D4D6E"/>
    <w:rsid w:val="004D5838"/>
    <w:rsid w:val="004D592B"/>
    <w:rsid w:val="004D5CA4"/>
    <w:rsid w:val="004D6063"/>
    <w:rsid w:val="004D626C"/>
    <w:rsid w:val="004D67E3"/>
    <w:rsid w:val="004E0E40"/>
    <w:rsid w:val="004E10A9"/>
    <w:rsid w:val="004E1672"/>
    <w:rsid w:val="004E19C5"/>
    <w:rsid w:val="004E1EDC"/>
    <w:rsid w:val="004E2731"/>
    <w:rsid w:val="004E3446"/>
    <w:rsid w:val="004E3690"/>
    <w:rsid w:val="004E45EA"/>
    <w:rsid w:val="004E5DAC"/>
    <w:rsid w:val="004E7431"/>
    <w:rsid w:val="004E74FA"/>
    <w:rsid w:val="004E7AAE"/>
    <w:rsid w:val="004F0BE0"/>
    <w:rsid w:val="004F0F4D"/>
    <w:rsid w:val="004F1284"/>
    <w:rsid w:val="004F27C0"/>
    <w:rsid w:val="004F2E20"/>
    <w:rsid w:val="004F2F53"/>
    <w:rsid w:val="004F2FC5"/>
    <w:rsid w:val="004F5387"/>
    <w:rsid w:val="004F58C3"/>
    <w:rsid w:val="004F5ACC"/>
    <w:rsid w:val="004F5B66"/>
    <w:rsid w:val="004F68D9"/>
    <w:rsid w:val="004F6A37"/>
    <w:rsid w:val="004F7778"/>
    <w:rsid w:val="00500A68"/>
    <w:rsid w:val="005012CD"/>
    <w:rsid w:val="00501E5F"/>
    <w:rsid w:val="005023DA"/>
    <w:rsid w:val="00502731"/>
    <w:rsid w:val="00503846"/>
    <w:rsid w:val="0050525A"/>
    <w:rsid w:val="00506B9F"/>
    <w:rsid w:val="00507322"/>
    <w:rsid w:val="00507969"/>
    <w:rsid w:val="00507AEC"/>
    <w:rsid w:val="005101AC"/>
    <w:rsid w:val="00512297"/>
    <w:rsid w:val="005125BE"/>
    <w:rsid w:val="00513727"/>
    <w:rsid w:val="00514E85"/>
    <w:rsid w:val="0051576B"/>
    <w:rsid w:val="005164BC"/>
    <w:rsid w:val="00517772"/>
    <w:rsid w:val="00517879"/>
    <w:rsid w:val="0051787D"/>
    <w:rsid w:val="00517B94"/>
    <w:rsid w:val="0052066B"/>
    <w:rsid w:val="00521770"/>
    <w:rsid w:val="00521E6C"/>
    <w:rsid w:val="00521F2F"/>
    <w:rsid w:val="0052206A"/>
    <w:rsid w:val="00522B28"/>
    <w:rsid w:val="00522F78"/>
    <w:rsid w:val="005243B7"/>
    <w:rsid w:val="00524482"/>
    <w:rsid w:val="005244B8"/>
    <w:rsid w:val="005245B9"/>
    <w:rsid w:val="00524657"/>
    <w:rsid w:val="005247DE"/>
    <w:rsid w:val="00525CDC"/>
    <w:rsid w:val="00525D13"/>
    <w:rsid w:val="0052666C"/>
    <w:rsid w:val="0052672C"/>
    <w:rsid w:val="005276BD"/>
    <w:rsid w:val="00527901"/>
    <w:rsid w:val="00527E45"/>
    <w:rsid w:val="00530563"/>
    <w:rsid w:val="00530716"/>
    <w:rsid w:val="005308A2"/>
    <w:rsid w:val="00530BF5"/>
    <w:rsid w:val="00531761"/>
    <w:rsid w:val="00531AB4"/>
    <w:rsid w:val="00532BA1"/>
    <w:rsid w:val="0053305B"/>
    <w:rsid w:val="00534B97"/>
    <w:rsid w:val="00534D35"/>
    <w:rsid w:val="00535677"/>
    <w:rsid w:val="0053573F"/>
    <w:rsid w:val="00535D87"/>
    <w:rsid w:val="00536964"/>
    <w:rsid w:val="00536A00"/>
    <w:rsid w:val="0053750E"/>
    <w:rsid w:val="00540275"/>
    <w:rsid w:val="00540AE7"/>
    <w:rsid w:val="00540DAC"/>
    <w:rsid w:val="00540DC1"/>
    <w:rsid w:val="0054143C"/>
    <w:rsid w:val="00541D25"/>
    <w:rsid w:val="0054247C"/>
    <w:rsid w:val="005426C2"/>
    <w:rsid w:val="00542921"/>
    <w:rsid w:val="005430DE"/>
    <w:rsid w:val="00543494"/>
    <w:rsid w:val="00543799"/>
    <w:rsid w:val="00543873"/>
    <w:rsid w:val="00543EF2"/>
    <w:rsid w:val="00544114"/>
    <w:rsid w:val="005445DF"/>
    <w:rsid w:val="00544693"/>
    <w:rsid w:val="00545C21"/>
    <w:rsid w:val="005460AE"/>
    <w:rsid w:val="0054613E"/>
    <w:rsid w:val="0054626C"/>
    <w:rsid w:val="0054647B"/>
    <w:rsid w:val="005467D0"/>
    <w:rsid w:val="005505AB"/>
    <w:rsid w:val="00551135"/>
    <w:rsid w:val="00551370"/>
    <w:rsid w:val="00551866"/>
    <w:rsid w:val="005525B3"/>
    <w:rsid w:val="005532B9"/>
    <w:rsid w:val="005538C2"/>
    <w:rsid w:val="00553BD0"/>
    <w:rsid w:val="00553DF4"/>
    <w:rsid w:val="00553FB7"/>
    <w:rsid w:val="00554AFB"/>
    <w:rsid w:val="00554DF1"/>
    <w:rsid w:val="00555A06"/>
    <w:rsid w:val="00555DAB"/>
    <w:rsid w:val="00555ECA"/>
    <w:rsid w:val="00556243"/>
    <w:rsid w:val="005563A8"/>
    <w:rsid w:val="00560256"/>
    <w:rsid w:val="00561B4F"/>
    <w:rsid w:val="00561B9C"/>
    <w:rsid w:val="00561EA4"/>
    <w:rsid w:val="00562237"/>
    <w:rsid w:val="005625F6"/>
    <w:rsid w:val="0056289B"/>
    <w:rsid w:val="00562E19"/>
    <w:rsid w:val="00562E97"/>
    <w:rsid w:val="00562EC4"/>
    <w:rsid w:val="00563368"/>
    <w:rsid w:val="005638EF"/>
    <w:rsid w:val="00563B20"/>
    <w:rsid w:val="00563D34"/>
    <w:rsid w:val="00564E07"/>
    <w:rsid w:val="00565F4D"/>
    <w:rsid w:val="00566427"/>
    <w:rsid w:val="00566F9D"/>
    <w:rsid w:val="005674D2"/>
    <w:rsid w:val="00571AA8"/>
    <w:rsid w:val="00571D71"/>
    <w:rsid w:val="0057253E"/>
    <w:rsid w:val="00572C4A"/>
    <w:rsid w:val="00573162"/>
    <w:rsid w:val="005734C9"/>
    <w:rsid w:val="005735E5"/>
    <w:rsid w:val="00573BFC"/>
    <w:rsid w:val="005743C5"/>
    <w:rsid w:val="00574E5D"/>
    <w:rsid w:val="00575E0B"/>
    <w:rsid w:val="00576320"/>
    <w:rsid w:val="00576F4F"/>
    <w:rsid w:val="00576F8A"/>
    <w:rsid w:val="0057752C"/>
    <w:rsid w:val="00577898"/>
    <w:rsid w:val="00577A32"/>
    <w:rsid w:val="00580FB6"/>
    <w:rsid w:val="00581609"/>
    <w:rsid w:val="00581647"/>
    <w:rsid w:val="00582254"/>
    <w:rsid w:val="00582821"/>
    <w:rsid w:val="00582D69"/>
    <w:rsid w:val="00583213"/>
    <w:rsid w:val="00583F3D"/>
    <w:rsid w:val="0058413E"/>
    <w:rsid w:val="005845DB"/>
    <w:rsid w:val="0058482F"/>
    <w:rsid w:val="00585A84"/>
    <w:rsid w:val="00585E73"/>
    <w:rsid w:val="00586A9C"/>
    <w:rsid w:val="00586D44"/>
    <w:rsid w:val="00586FF5"/>
    <w:rsid w:val="0059025F"/>
    <w:rsid w:val="0059036B"/>
    <w:rsid w:val="0059168A"/>
    <w:rsid w:val="005930AF"/>
    <w:rsid w:val="00593C2A"/>
    <w:rsid w:val="00594115"/>
    <w:rsid w:val="005946B7"/>
    <w:rsid w:val="00594739"/>
    <w:rsid w:val="00594C97"/>
    <w:rsid w:val="00594E2E"/>
    <w:rsid w:val="0059521F"/>
    <w:rsid w:val="00595661"/>
    <w:rsid w:val="00595B32"/>
    <w:rsid w:val="00596D79"/>
    <w:rsid w:val="00596FF8"/>
    <w:rsid w:val="0059718C"/>
    <w:rsid w:val="005973BE"/>
    <w:rsid w:val="005A0070"/>
    <w:rsid w:val="005A0EC6"/>
    <w:rsid w:val="005A2801"/>
    <w:rsid w:val="005A3FDC"/>
    <w:rsid w:val="005A4D1F"/>
    <w:rsid w:val="005A4FBC"/>
    <w:rsid w:val="005A64BF"/>
    <w:rsid w:val="005A6B60"/>
    <w:rsid w:val="005A6F8B"/>
    <w:rsid w:val="005A7B05"/>
    <w:rsid w:val="005A7C1F"/>
    <w:rsid w:val="005A7D01"/>
    <w:rsid w:val="005B00EB"/>
    <w:rsid w:val="005B05D3"/>
    <w:rsid w:val="005B1071"/>
    <w:rsid w:val="005B127E"/>
    <w:rsid w:val="005B149F"/>
    <w:rsid w:val="005B1790"/>
    <w:rsid w:val="005B1E41"/>
    <w:rsid w:val="005B2205"/>
    <w:rsid w:val="005B296C"/>
    <w:rsid w:val="005B327B"/>
    <w:rsid w:val="005B3F1E"/>
    <w:rsid w:val="005B4388"/>
    <w:rsid w:val="005B44D4"/>
    <w:rsid w:val="005B4738"/>
    <w:rsid w:val="005B4FC6"/>
    <w:rsid w:val="005B51B7"/>
    <w:rsid w:val="005B5A4D"/>
    <w:rsid w:val="005B6FF0"/>
    <w:rsid w:val="005B7180"/>
    <w:rsid w:val="005B7370"/>
    <w:rsid w:val="005B7928"/>
    <w:rsid w:val="005C066A"/>
    <w:rsid w:val="005C0729"/>
    <w:rsid w:val="005C114C"/>
    <w:rsid w:val="005C1F24"/>
    <w:rsid w:val="005C3AEF"/>
    <w:rsid w:val="005C56F7"/>
    <w:rsid w:val="005C6251"/>
    <w:rsid w:val="005C7160"/>
    <w:rsid w:val="005D03A7"/>
    <w:rsid w:val="005D16FB"/>
    <w:rsid w:val="005D1D19"/>
    <w:rsid w:val="005D2B20"/>
    <w:rsid w:val="005D2E57"/>
    <w:rsid w:val="005D2F50"/>
    <w:rsid w:val="005D3254"/>
    <w:rsid w:val="005D37C7"/>
    <w:rsid w:val="005D39AB"/>
    <w:rsid w:val="005D3C9A"/>
    <w:rsid w:val="005D44FB"/>
    <w:rsid w:val="005D5480"/>
    <w:rsid w:val="005D571F"/>
    <w:rsid w:val="005D691A"/>
    <w:rsid w:val="005D6BD5"/>
    <w:rsid w:val="005D6E34"/>
    <w:rsid w:val="005D6F89"/>
    <w:rsid w:val="005E082B"/>
    <w:rsid w:val="005E0C70"/>
    <w:rsid w:val="005E0FA4"/>
    <w:rsid w:val="005E1073"/>
    <w:rsid w:val="005E10FD"/>
    <w:rsid w:val="005E16F1"/>
    <w:rsid w:val="005E34E4"/>
    <w:rsid w:val="005E357D"/>
    <w:rsid w:val="005E3C84"/>
    <w:rsid w:val="005E3EF1"/>
    <w:rsid w:val="005E4748"/>
    <w:rsid w:val="005E48C5"/>
    <w:rsid w:val="005E5AD2"/>
    <w:rsid w:val="005E5F7C"/>
    <w:rsid w:val="005E5F89"/>
    <w:rsid w:val="005E602A"/>
    <w:rsid w:val="005E652F"/>
    <w:rsid w:val="005E6DAC"/>
    <w:rsid w:val="005E78ED"/>
    <w:rsid w:val="005E7AC2"/>
    <w:rsid w:val="005F01A1"/>
    <w:rsid w:val="005F031D"/>
    <w:rsid w:val="005F0346"/>
    <w:rsid w:val="005F0FCE"/>
    <w:rsid w:val="005F2673"/>
    <w:rsid w:val="005F2E27"/>
    <w:rsid w:val="005F3367"/>
    <w:rsid w:val="005F3D4A"/>
    <w:rsid w:val="005F3F24"/>
    <w:rsid w:val="005F42E2"/>
    <w:rsid w:val="005F447E"/>
    <w:rsid w:val="005F489F"/>
    <w:rsid w:val="005F5377"/>
    <w:rsid w:val="005F58C7"/>
    <w:rsid w:val="005F598D"/>
    <w:rsid w:val="005F5F8F"/>
    <w:rsid w:val="005F6EE0"/>
    <w:rsid w:val="005F73FD"/>
    <w:rsid w:val="005F7402"/>
    <w:rsid w:val="005F7531"/>
    <w:rsid w:val="005F7CCD"/>
    <w:rsid w:val="00600111"/>
    <w:rsid w:val="00601442"/>
    <w:rsid w:val="00601CBA"/>
    <w:rsid w:val="00601FD3"/>
    <w:rsid w:val="00602C88"/>
    <w:rsid w:val="00603999"/>
    <w:rsid w:val="00604255"/>
    <w:rsid w:val="006043C9"/>
    <w:rsid w:val="00604F76"/>
    <w:rsid w:val="00605CAE"/>
    <w:rsid w:val="00606797"/>
    <w:rsid w:val="006067AB"/>
    <w:rsid w:val="006067FB"/>
    <w:rsid w:val="006068C4"/>
    <w:rsid w:val="006072B0"/>
    <w:rsid w:val="00607453"/>
    <w:rsid w:val="0060773B"/>
    <w:rsid w:val="00610032"/>
    <w:rsid w:val="00610253"/>
    <w:rsid w:val="00611B6B"/>
    <w:rsid w:val="006129AC"/>
    <w:rsid w:val="00612F9E"/>
    <w:rsid w:val="00613460"/>
    <w:rsid w:val="00613821"/>
    <w:rsid w:val="0061612D"/>
    <w:rsid w:val="006163D1"/>
    <w:rsid w:val="00616421"/>
    <w:rsid w:val="0061651E"/>
    <w:rsid w:val="00617103"/>
    <w:rsid w:val="006179A2"/>
    <w:rsid w:val="006204B5"/>
    <w:rsid w:val="00620998"/>
    <w:rsid w:val="00620CC5"/>
    <w:rsid w:val="00620F56"/>
    <w:rsid w:val="0062131E"/>
    <w:rsid w:val="0062180B"/>
    <w:rsid w:val="00621ADD"/>
    <w:rsid w:val="00622417"/>
    <w:rsid w:val="00622813"/>
    <w:rsid w:val="00622BD4"/>
    <w:rsid w:val="0062363D"/>
    <w:rsid w:val="00623E58"/>
    <w:rsid w:val="0062406E"/>
    <w:rsid w:val="00624236"/>
    <w:rsid w:val="006260FF"/>
    <w:rsid w:val="00626334"/>
    <w:rsid w:val="00626ED8"/>
    <w:rsid w:val="00627042"/>
    <w:rsid w:val="006304E9"/>
    <w:rsid w:val="00630FB1"/>
    <w:rsid w:val="00631194"/>
    <w:rsid w:val="0063251E"/>
    <w:rsid w:val="00632FDD"/>
    <w:rsid w:val="006331BB"/>
    <w:rsid w:val="0063323D"/>
    <w:rsid w:val="00633B75"/>
    <w:rsid w:val="00633D56"/>
    <w:rsid w:val="006352E0"/>
    <w:rsid w:val="006362C7"/>
    <w:rsid w:val="00636306"/>
    <w:rsid w:val="006368D1"/>
    <w:rsid w:val="006371F4"/>
    <w:rsid w:val="006372AA"/>
    <w:rsid w:val="0063789C"/>
    <w:rsid w:val="00637DFD"/>
    <w:rsid w:val="006405F6"/>
    <w:rsid w:val="00640AC3"/>
    <w:rsid w:val="00640BF0"/>
    <w:rsid w:val="006416A3"/>
    <w:rsid w:val="00642A13"/>
    <w:rsid w:val="0064314D"/>
    <w:rsid w:val="006433BE"/>
    <w:rsid w:val="00644748"/>
    <w:rsid w:val="0064632B"/>
    <w:rsid w:val="00646668"/>
    <w:rsid w:val="006469B1"/>
    <w:rsid w:val="00646BB2"/>
    <w:rsid w:val="00647041"/>
    <w:rsid w:val="00647059"/>
    <w:rsid w:val="00647276"/>
    <w:rsid w:val="00651FF8"/>
    <w:rsid w:val="006523BD"/>
    <w:rsid w:val="00652A71"/>
    <w:rsid w:val="0065331E"/>
    <w:rsid w:val="006533CD"/>
    <w:rsid w:val="00654B8E"/>
    <w:rsid w:val="00654BC1"/>
    <w:rsid w:val="00655523"/>
    <w:rsid w:val="00655B5D"/>
    <w:rsid w:val="00655F96"/>
    <w:rsid w:val="00656C7D"/>
    <w:rsid w:val="00657187"/>
    <w:rsid w:val="00657889"/>
    <w:rsid w:val="006605C4"/>
    <w:rsid w:val="00660C07"/>
    <w:rsid w:val="006612DA"/>
    <w:rsid w:val="00661638"/>
    <w:rsid w:val="00661DDA"/>
    <w:rsid w:val="00662332"/>
    <w:rsid w:val="006624E3"/>
    <w:rsid w:val="00662C61"/>
    <w:rsid w:val="006639FC"/>
    <w:rsid w:val="00664322"/>
    <w:rsid w:val="00664B92"/>
    <w:rsid w:val="006655C1"/>
    <w:rsid w:val="00665CD2"/>
    <w:rsid w:val="0066610B"/>
    <w:rsid w:val="00666327"/>
    <w:rsid w:val="00666948"/>
    <w:rsid w:val="0066700A"/>
    <w:rsid w:val="00667836"/>
    <w:rsid w:val="00667AF6"/>
    <w:rsid w:val="00667FEC"/>
    <w:rsid w:val="006705EB"/>
    <w:rsid w:val="00670AC6"/>
    <w:rsid w:val="00670D90"/>
    <w:rsid w:val="00671048"/>
    <w:rsid w:val="0067107B"/>
    <w:rsid w:val="00671317"/>
    <w:rsid w:val="00671322"/>
    <w:rsid w:val="00671994"/>
    <w:rsid w:val="006725B6"/>
    <w:rsid w:val="00672D18"/>
    <w:rsid w:val="006737EE"/>
    <w:rsid w:val="00674506"/>
    <w:rsid w:val="00674EB5"/>
    <w:rsid w:val="0067508F"/>
    <w:rsid w:val="00675752"/>
    <w:rsid w:val="00676741"/>
    <w:rsid w:val="00676B96"/>
    <w:rsid w:val="006806C3"/>
    <w:rsid w:val="006806F2"/>
    <w:rsid w:val="0068088A"/>
    <w:rsid w:val="00680FA3"/>
    <w:rsid w:val="0068139E"/>
    <w:rsid w:val="006815BC"/>
    <w:rsid w:val="006818D1"/>
    <w:rsid w:val="00681BE8"/>
    <w:rsid w:val="00681FC0"/>
    <w:rsid w:val="00681FC6"/>
    <w:rsid w:val="0068232C"/>
    <w:rsid w:val="006829C7"/>
    <w:rsid w:val="00682A95"/>
    <w:rsid w:val="00682CA9"/>
    <w:rsid w:val="006832B1"/>
    <w:rsid w:val="00683B23"/>
    <w:rsid w:val="00683D7A"/>
    <w:rsid w:val="00683DDE"/>
    <w:rsid w:val="00683F16"/>
    <w:rsid w:val="00685729"/>
    <w:rsid w:val="006858F4"/>
    <w:rsid w:val="00685A34"/>
    <w:rsid w:val="00685CCF"/>
    <w:rsid w:val="00685E6F"/>
    <w:rsid w:val="00687C9B"/>
    <w:rsid w:val="0069067A"/>
    <w:rsid w:val="0069100A"/>
    <w:rsid w:val="00691183"/>
    <w:rsid w:val="00691DF0"/>
    <w:rsid w:val="006922E4"/>
    <w:rsid w:val="00692893"/>
    <w:rsid w:val="00692D1E"/>
    <w:rsid w:val="00693FB1"/>
    <w:rsid w:val="00694632"/>
    <w:rsid w:val="006946F7"/>
    <w:rsid w:val="00694CC6"/>
    <w:rsid w:val="006956A9"/>
    <w:rsid w:val="00696601"/>
    <w:rsid w:val="006966E7"/>
    <w:rsid w:val="006A0384"/>
    <w:rsid w:val="006A0E1A"/>
    <w:rsid w:val="006A1481"/>
    <w:rsid w:val="006A2F81"/>
    <w:rsid w:val="006A3560"/>
    <w:rsid w:val="006A38E8"/>
    <w:rsid w:val="006A441C"/>
    <w:rsid w:val="006A484A"/>
    <w:rsid w:val="006A5409"/>
    <w:rsid w:val="006A580A"/>
    <w:rsid w:val="006A5CDA"/>
    <w:rsid w:val="006A73CE"/>
    <w:rsid w:val="006A753F"/>
    <w:rsid w:val="006A75A9"/>
    <w:rsid w:val="006B02EB"/>
    <w:rsid w:val="006B02F4"/>
    <w:rsid w:val="006B0F39"/>
    <w:rsid w:val="006B12E7"/>
    <w:rsid w:val="006B14BA"/>
    <w:rsid w:val="006B3245"/>
    <w:rsid w:val="006B3755"/>
    <w:rsid w:val="006B427E"/>
    <w:rsid w:val="006B4FC4"/>
    <w:rsid w:val="006B53DD"/>
    <w:rsid w:val="006B580A"/>
    <w:rsid w:val="006B61C5"/>
    <w:rsid w:val="006B6E82"/>
    <w:rsid w:val="006B73C1"/>
    <w:rsid w:val="006C009B"/>
    <w:rsid w:val="006C0E3D"/>
    <w:rsid w:val="006C190A"/>
    <w:rsid w:val="006C2768"/>
    <w:rsid w:val="006C280D"/>
    <w:rsid w:val="006C345A"/>
    <w:rsid w:val="006C39B8"/>
    <w:rsid w:val="006C3E62"/>
    <w:rsid w:val="006C441A"/>
    <w:rsid w:val="006C47FC"/>
    <w:rsid w:val="006C6BC1"/>
    <w:rsid w:val="006C6CDC"/>
    <w:rsid w:val="006C6ED8"/>
    <w:rsid w:val="006C7937"/>
    <w:rsid w:val="006D23AE"/>
    <w:rsid w:val="006D25D4"/>
    <w:rsid w:val="006D2F6D"/>
    <w:rsid w:val="006D3163"/>
    <w:rsid w:val="006D3A51"/>
    <w:rsid w:val="006D4222"/>
    <w:rsid w:val="006D4983"/>
    <w:rsid w:val="006D56EC"/>
    <w:rsid w:val="006D5B5A"/>
    <w:rsid w:val="006D60BD"/>
    <w:rsid w:val="006D640F"/>
    <w:rsid w:val="006D6C99"/>
    <w:rsid w:val="006D7179"/>
    <w:rsid w:val="006D7AE0"/>
    <w:rsid w:val="006D7ED7"/>
    <w:rsid w:val="006E151C"/>
    <w:rsid w:val="006E184E"/>
    <w:rsid w:val="006E31A7"/>
    <w:rsid w:val="006E335D"/>
    <w:rsid w:val="006E42A0"/>
    <w:rsid w:val="006E4325"/>
    <w:rsid w:val="006E570F"/>
    <w:rsid w:val="006E6DB2"/>
    <w:rsid w:val="006E737A"/>
    <w:rsid w:val="006E73A1"/>
    <w:rsid w:val="006E76BA"/>
    <w:rsid w:val="006E7DA7"/>
    <w:rsid w:val="006F138E"/>
    <w:rsid w:val="006F2940"/>
    <w:rsid w:val="006F31A3"/>
    <w:rsid w:val="006F362F"/>
    <w:rsid w:val="006F36DB"/>
    <w:rsid w:val="006F3C93"/>
    <w:rsid w:val="006F61E8"/>
    <w:rsid w:val="006F6AE7"/>
    <w:rsid w:val="006F6B8F"/>
    <w:rsid w:val="0070004E"/>
    <w:rsid w:val="007007DE"/>
    <w:rsid w:val="00700C30"/>
    <w:rsid w:val="00700EDB"/>
    <w:rsid w:val="007010B9"/>
    <w:rsid w:val="007012C9"/>
    <w:rsid w:val="00701AF7"/>
    <w:rsid w:val="00702050"/>
    <w:rsid w:val="00704230"/>
    <w:rsid w:val="00704FE6"/>
    <w:rsid w:val="007050AA"/>
    <w:rsid w:val="0070611C"/>
    <w:rsid w:val="00706639"/>
    <w:rsid w:val="00706997"/>
    <w:rsid w:val="00710C00"/>
    <w:rsid w:val="0071160F"/>
    <w:rsid w:val="0071165D"/>
    <w:rsid w:val="007121EC"/>
    <w:rsid w:val="00712C8F"/>
    <w:rsid w:val="00712D8F"/>
    <w:rsid w:val="007135BD"/>
    <w:rsid w:val="00713F0A"/>
    <w:rsid w:val="007142EE"/>
    <w:rsid w:val="007146D7"/>
    <w:rsid w:val="00715BFA"/>
    <w:rsid w:val="00715E8A"/>
    <w:rsid w:val="00716029"/>
    <w:rsid w:val="007169C6"/>
    <w:rsid w:val="00716FC2"/>
    <w:rsid w:val="00717B6C"/>
    <w:rsid w:val="00717CA1"/>
    <w:rsid w:val="007207B2"/>
    <w:rsid w:val="00720802"/>
    <w:rsid w:val="00720B76"/>
    <w:rsid w:val="0072323B"/>
    <w:rsid w:val="0072331A"/>
    <w:rsid w:val="00724B3C"/>
    <w:rsid w:val="00726A01"/>
    <w:rsid w:val="00727299"/>
    <w:rsid w:val="00727FC5"/>
    <w:rsid w:val="0073090D"/>
    <w:rsid w:val="00730FA7"/>
    <w:rsid w:val="007320BE"/>
    <w:rsid w:val="00732D51"/>
    <w:rsid w:val="0073301A"/>
    <w:rsid w:val="00733260"/>
    <w:rsid w:val="00733975"/>
    <w:rsid w:val="00733EE8"/>
    <w:rsid w:val="007344BA"/>
    <w:rsid w:val="00734E0A"/>
    <w:rsid w:val="00734FA1"/>
    <w:rsid w:val="0073745E"/>
    <w:rsid w:val="00737960"/>
    <w:rsid w:val="00737E92"/>
    <w:rsid w:val="00740764"/>
    <w:rsid w:val="00741D70"/>
    <w:rsid w:val="00741EFD"/>
    <w:rsid w:val="00742394"/>
    <w:rsid w:val="007424C6"/>
    <w:rsid w:val="007428BB"/>
    <w:rsid w:val="007428D9"/>
    <w:rsid w:val="00742A5C"/>
    <w:rsid w:val="007432EE"/>
    <w:rsid w:val="007437BC"/>
    <w:rsid w:val="0074391E"/>
    <w:rsid w:val="00743B88"/>
    <w:rsid w:val="00747D99"/>
    <w:rsid w:val="00750E5B"/>
    <w:rsid w:val="007513C8"/>
    <w:rsid w:val="00751992"/>
    <w:rsid w:val="0075253E"/>
    <w:rsid w:val="007526F7"/>
    <w:rsid w:val="00752FBC"/>
    <w:rsid w:val="007533C6"/>
    <w:rsid w:val="00753A51"/>
    <w:rsid w:val="0075450C"/>
    <w:rsid w:val="00754F3D"/>
    <w:rsid w:val="007557FD"/>
    <w:rsid w:val="00755D08"/>
    <w:rsid w:val="00755E13"/>
    <w:rsid w:val="0075609F"/>
    <w:rsid w:val="00756143"/>
    <w:rsid w:val="0075724D"/>
    <w:rsid w:val="00757303"/>
    <w:rsid w:val="007574E3"/>
    <w:rsid w:val="00757A65"/>
    <w:rsid w:val="00757E1F"/>
    <w:rsid w:val="00757E5B"/>
    <w:rsid w:val="00760221"/>
    <w:rsid w:val="0076239D"/>
    <w:rsid w:val="007626AA"/>
    <w:rsid w:val="007627BB"/>
    <w:rsid w:val="00763737"/>
    <w:rsid w:val="007637C8"/>
    <w:rsid w:val="0076442C"/>
    <w:rsid w:val="00764539"/>
    <w:rsid w:val="0076472B"/>
    <w:rsid w:val="00764911"/>
    <w:rsid w:val="00764DAB"/>
    <w:rsid w:val="00766477"/>
    <w:rsid w:val="0076657F"/>
    <w:rsid w:val="00766CF5"/>
    <w:rsid w:val="00767717"/>
    <w:rsid w:val="007678DF"/>
    <w:rsid w:val="00767B1D"/>
    <w:rsid w:val="00767C5B"/>
    <w:rsid w:val="00767C93"/>
    <w:rsid w:val="007706B1"/>
    <w:rsid w:val="00771699"/>
    <w:rsid w:val="007717AF"/>
    <w:rsid w:val="00772CF6"/>
    <w:rsid w:val="007745A6"/>
    <w:rsid w:val="007745D1"/>
    <w:rsid w:val="00774CE0"/>
    <w:rsid w:val="00774DAC"/>
    <w:rsid w:val="007757BB"/>
    <w:rsid w:val="00775862"/>
    <w:rsid w:val="00776EE8"/>
    <w:rsid w:val="00776FD9"/>
    <w:rsid w:val="0077718B"/>
    <w:rsid w:val="007776AD"/>
    <w:rsid w:val="00777B4E"/>
    <w:rsid w:val="007806B8"/>
    <w:rsid w:val="00780864"/>
    <w:rsid w:val="00780C1F"/>
    <w:rsid w:val="00780CA6"/>
    <w:rsid w:val="007811E6"/>
    <w:rsid w:val="00781CC4"/>
    <w:rsid w:val="007829A0"/>
    <w:rsid w:val="00782A18"/>
    <w:rsid w:val="00783960"/>
    <w:rsid w:val="00783F8F"/>
    <w:rsid w:val="00784651"/>
    <w:rsid w:val="00784A36"/>
    <w:rsid w:val="00785514"/>
    <w:rsid w:val="007857B1"/>
    <w:rsid w:val="007867B0"/>
    <w:rsid w:val="007878CB"/>
    <w:rsid w:val="00787F53"/>
    <w:rsid w:val="0079092E"/>
    <w:rsid w:val="00790C74"/>
    <w:rsid w:val="00790DBA"/>
    <w:rsid w:val="00791CB9"/>
    <w:rsid w:val="00791D70"/>
    <w:rsid w:val="007922A5"/>
    <w:rsid w:val="0079268B"/>
    <w:rsid w:val="00792BBE"/>
    <w:rsid w:val="0079349E"/>
    <w:rsid w:val="00793855"/>
    <w:rsid w:val="00793F50"/>
    <w:rsid w:val="00794A0B"/>
    <w:rsid w:val="007950C4"/>
    <w:rsid w:val="00796594"/>
    <w:rsid w:val="00797203"/>
    <w:rsid w:val="00797315"/>
    <w:rsid w:val="007A0583"/>
    <w:rsid w:val="007A10EA"/>
    <w:rsid w:val="007A13E6"/>
    <w:rsid w:val="007A14E4"/>
    <w:rsid w:val="007A1A31"/>
    <w:rsid w:val="007A20C2"/>
    <w:rsid w:val="007A3226"/>
    <w:rsid w:val="007A4372"/>
    <w:rsid w:val="007A451B"/>
    <w:rsid w:val="007A4C0D"/>
    <w:rsid w:val="007A5162"/>
    <w:rsid w:val="007A5486"/>
    <w:rsid w:val="007A5605"/>
    <w:rsid w:val="007A79D8"/>
    <w:rsid w:val="007B0B97"/>
    <w:rsid w:val="007B11F9"/>
    <w:rsid w:val="007B1A2C"/>
    <w:rsid w:val="007B1D0A"/>
    <w:rsid w:val="007B1E46"/>
    <w:rsid w:val="007B2018"/>
    <w:rsid w:val="007B2047"/>
    <w:rsid w:val="007B4A0A"/>
    <w:rsid w:val="007B4C70"/>
    <w:rsid w:val="007B5882"/>
    <w:rsid w:val="007B6A95"/>
    <w:rsid w:val="007B7147"/>
    <w:rsid w:val="007B7B18"/>
    <w:rsid w:val="007C00E7"/>
    <w:rsid w:val="007C11F9"/>
    <w:rsid w:val="007C2071"/>
    <w:rsid w:val="007C285A"/>
    <w:rsid w:val="007C31EB"/>
    <w:rsid w:val="007C3445"/>
    <w:rsid w:val="007C365A"/>
    <w:rsid w:val="007C39C1"/>
    <w:rsid w:val="007C59BB"/>
    <w:rsid w:val="007C6158"/>
    <w:rsid w:val="007C6318"/>
    <w:rsid w:val="007C665D"/>
    <w:rsid w:val="007C7A65"/>
    <w:rsid w:val="007C7E1D"/>
    <w:rsid w:val="007D09CC"/>
    <w:rsid w:val="007D1173"/>
    <w:rsid w:val="007D1234"/>
    <w:rsid w:val="007D1566"/>
    <w:rsid w:val="007D1FB0"/>
    <w:rsid w:val="007D22BD"/>
    <w:rsid w:val="007D30EE"/>
    <w:rsid w:val="007D395E"/>
    <w:rsid w:val="007D42F5"/>
    <w:rsid w:val="007D4458"/>
    <w:rsid w:val="007D4D66"/>
    <w:rsid w:val="007D5A81"/>
    <w:rsid w:val="007D7106"/>
    <w:rsid w:val="007D7C49"/>
    <w:rsid w:val="007E05B2"/>
    <w:rsid w:val="007E0918"/>
    <w:rsid w:val="007E09D4"/>
    <w:rsid w:val="007E0B15"/>
    <w:rsid w:val="007E0ED5"/>
    <w:rsid w:val="007E1D2C"/>
    <w:rsid w:val="007E1D77"/>
    <w:rsid w:val="007E2192"/>
    <w:rsid w:val="007E2496"/>
    <w:rsid w:val="007E24B2"/>
    <w:rsid w:val="007E26E2"/>
    <w:rsid w:val="007E311B"/>
    <w:rsid w:val="007E435F"/>
    <w:rsid w:val="007E46F5"/>
    <w:rsid w:val="007E48DF"/>
    <w:rsid w:val="007E52C1"/>
    <w:rsid w:val="007E5CEB"/>
    <w:rsid w:val="007E72CB"/>
    <w:rsid w:val="007E72F8"/>
    <w:rsid w:val="007F086D"/>
    <w:rsid w:val="007F09B0"/>
    <w:rsid w:val="007F156C"/>
    <w:rsid w:val="007F22B7"/>
    <w:rsid w:val="007F2889"/>
    <w:rsid w:val="007F3314"/>
    <w:rsid w:val="007F3722"/>
    <w:rsid w:val="007F5FAB"/>
    <w:rsid w:val="007F7191"/>
    <w:rsid w:val="007F7864"/>
    <w:rsid w:val="007F7DAF"/>
    <w:rsid w:val="0080005C"/>
    <w:rsid w:val="0080024B"/>
    <w:rsid w:val="00800451"/>
    <w:rsid w:val="008006EF"/>
    <w:rsid w:val="00800713"/>
    <w:rsid w:val="00801E0F"/>
    <w:rsid w:val="00802051"/>
    <w:rsid w:val="008029B6"/>
    <w:rsid w:val="00803839"/>
    <w:rsid w:val="0080389C"/>
    <w:rsid w:val="00804092"/>
    <w:rsid w:val="008041D4"/>
    <w:rsid w:val="008054BE"/>
    <w:rsid w:val="00805685"/>
    <w:rsid w:val="00805928"/>
    <w:rsid w:val="00806371"/>
    <w:rsid w:val="00806738"/>
    <w:rsid w:val="00806774"/>
    <w:rsid w:val="00806830"/>
    <w:rsid w:val="00807AD9"/>
    <w:rsid w:val="00807AE3"/>
    <w:rsid w:val="00807D1C"/>
    <w:rsid w:val="00807E5B"/>
    <w:rsid w:val="00810D1F"/>
    <w:rsid w:val="008110FB"/>
    <w:rsid w:val="00811127"/>
    <w:rsid w:val="0081155F"/>
    <w:rsid w:val="008122D9"/>
    <w:rsid w:val="00812554"/>
    <w:rsid w:val="0081356E"/>
    <w:rsid w:val="00813895"/>
    <w:rsid w:val="0081401E"/>
    <w:rsid w:val="0081511D"/>
    <w:rsid w:val="008154FF"/>
    <w:rsid w:val="00817198"/>
    <w:rsid w:val="00817585"/>
    <w:rsid w:val="00817980"/>
    <w:rsid w:val="00817DCA"/>
    <w:rsid w:val="008219CE"/>
    <w:rsid w:val="00821C4F"/>
    <w:rsid w:val="008234FB"/>
    <w:rsid w:val="00823EA1"/>
    <w:rsid w:val="00823F5A"/>
    <w:rsid w:val="0082406B"/>
    <w:rsid w:val="008243FF"/>
    <w:rsid w:val="00825AA7"/>
    <w:rsid w:val="00826594"/>
    <w:rsid w:val="0082664A"/>
    <w:rsid w:val="0082670D"/>
    <w:rsid w:val="008269BB"/>
    <w:rsid w:val="00826E5A"/>
    <w:rsid w:val="00827035"/>
    <w:rsid w:val="00827336"/>
    <w:rsid w:val="00827CC0"/>
    <w:rsid w:val="0083010D"/>
    <w:rsid w:val="0083079C"/>
    <w:rsid w:val="00830A05"/>
    <w:rsid w:val="008317B4"/>
    <w:rsid w:val="00831952"/>
    <w:rsid w:val="0083250E"/>
    <w:rsid w:val="00833517"/>
    <w:rsid w:val="00833AE0"/>
    <w:rsid w:val="00834FA4"/>
    <w:rsid w:val="00835EB3"/>
    <w:rsid w:val="00836117"/>
    <w:rsid w:val="00836C7E"/>
    <w:rsid w:val="00837C20"/>
    <w:rsid w:val="008402F3"/>
    <w:rsid w:val="0084075C"/>
    <w:rsid w:val="00840925"/>
    <w:rsid w:val="00840AEB"/>
    <w:rsid w:val="00840CC0"/>
    <w:rsid w:val="008413A3"/>
    <w:rsid w:val="0084143E"/>
    <w:rsid w:val="008419BB"/>
    <w:rsid w:val="008422D4"/>
    <w:rsid w:val="008422E6"/>
    <w:rsid w:val="00842E2A"/>
    <w:rsid w:val="008432D8"/>
    <w:rsid w:val="00843CE1"/>
    <w:rsid w:val="00844F22"/>
    <w:rsid w:val="00846631"/>
    <w:rsid w:val="00846891"/>
    <w:rsid w:val="00846AD7"/>
    <w:rsid w:val="00847B8E"/>
    <w:rsid w:val="00850150"/>
    <w:rsid w:val="008502A4"/>
    <w:rsid w:val="00850651"/>
    <w:rsid w:val="00850CB9"/>
    <w:rsid w:val="00850F40"/>
    <w:rsid w:val="008521C8"/>
    <w:rsid w:val="008526E2"/>
    <w:rsid w:val="0085358E"/>
    <w:rsid w:val="00853F53"/>
    <w:rsid w:val="00854529"/>
    <w:rsid w:val="008547FC"/>
    <w:rsid w:val="00854A6E"/>
    <w:rsid w:val="0085527A"/>
    <w:rsid w:val="00855EB5"/>
    <w:rsid w:val="0085628C"/>
    <w:rsid w:val="008566CB"/>
    <w:rsid w:val="00857A89"/>
    <w:rsid w:val="008603D5"/>
    <w:rsid w:val="00861351"/>
    <w:rsid w:val="00862B8D"/>
    <w:rsid w:val="00862CEF"/>
    <w:rsid w:val="0086304F"/>
    <w:rsid w:val="0086394E"/>
    <w:rsid w:val="00863A99"/>
    <w:rsid w:val="00863DFF"/>
    <w:rsid w:val="00864AC7"/>
    <w:rsid w:val="00864E79"/>
    <w:rsid w:val="0086565B"/>
    <w:rsid w:val="008661B3"/>
    <w:rsid w:val="0086635D"/>
    <w:rsid w:val="00866FEA"/>
    <w:rsid w:val="00867110"/>
    <w:rsid w:val="00867BDD"/>
    <w:rsid w:val="00867C5D"/>
    <w:rsid w:val="00870C2E"/>
    <w:rsid w:val="008717E3"/>
    <w:rsid w:val="0087195A"/>
    <w:rsid w:val="00873865"/>
    <w:rsid w:val="00873F0C"/>
    <w:rsid w:val="0087463E"/>
    <w:rsid w:val="00875642"/>
    <w:rsid w:val="008763A5"/>
    <w:rsid w:val="00880153"/>
    <w:rsid w:val="00880614"/>
    <w:rsid w:val="00880BB5"/>
    <w:rsid w:val="00881892"/>
    <w:rsid w:val="00882952"/>
    <w:rsid w:val="008837A6"/>
    <w:rsid w:val="00883A58"/>
    <w:rsid w:val="00883D0A"/>
    <w:rsid w:val="00883E31"/>
    <w:rsid w:val="008845C5"/>
    <w:rsid w:val="00884602"/>
    <w:rsid w:val="0088491E"/>
    <w:rsid w:val="00891011"/>
    <w:rsid w:val="00892180"/>
    <w:rsid w:val="00892944"/>
    <w:rsid w:val="00892C76"/>
    <w:rsid w:val="00892DF1"/>
    <w:rsid w:val="0089347C"/>
    <w:rsid w:val="00893821"/>
    <w:rsid w:val="00893AF5"/>
    <w:rsid w:val="00894298"/>
    <w:rsid w:val="0089497A"/>
    <w:rsid w:val="00894D94"/>
    <w:rsid w:val="0089574D"/>
    <w:rsid w:val="0089639C"/>
    <w:rsid w:val="008970BC"/>
    <w:rsid w:val="008971CF"/>
    <w:rsid w:val="00897763"/>
    <w:rsid w:val="008A0756"/>
    <w:rsid w:val="008A0927"/>
    <w:rsid w:val="008A1222"/>
    <w:rsid w:val="008A16AC"/>
    <w:rsid w:val="008A24EC"/>
    <w:rsid w:val="008A329C"/>
    <w:rsid w:val="008A36E9"/>
    <w:rsid w:val="008A3811"/>
    <w:rsid w:val="008A38EA"/>
    <w:rsid w:val="008A3AD1"/>
    <w:rsid w:val="008A5188"/>
    <w:rsid w:val="008A67E9"/>
    <w:rsid w:val="008A6B8E"/>
    <w:rsid w:val="008A6DEB"/>
    <w:rsid w:val="008A7896"/>
    <w:rsid w:val="008A79C6"/>
    <w:rsid w:val="008B006C"/>
    <w:rsid w:val="008B157D"/>
    <w:rsid w:val="008B1637"/>
    <w:rsid w:val="008B16AC"/>
    <w:rsid w:val="008B18FC"/>
    <w:rsid w:val="008B3D3D"/>
    <w:rsid w:val="008B3D57"/>
    <w:rsid w:val="008B45D1"/>
    <w:rsid w:val="008B45E1"/>
    <w:rsid w:val="008B4A73"/>
    <w:rsid w:val="008B4B0E"/>
    <w:rsid w:val="008B5356"/>
    <w:rsid w:val="008B5A38"/>
    <w:rsid w:val="008B60C1"/>
    <w:rsid w:val="008B6890"/>
    <w:rsid w:val="008B6C24"/>
    <w:rsid w:val="008B7597"/>
    <w:rsid w:val="008B7726"/>
    <w:rsid w:val="008C02F9"/>
    <w:rsid w:val="008C07E2"/>
    <w:rsid w:val="008C0C53"/>
    <w:rsid w:val="008C100D"/>
    <w:rsid w:val="008C1BCC"/>
    <w:rsid w:val="008C1F24"/>
    <w:rsid w:val="008C2650"/>
    <w:rsid w:val="008C2D0E"/>
    <w:rsid w:val="008C34BC"/>
    <w:rsid w:val="008C4A7A"/>
    <w:rsid w:val="008C55C4"/>
    <w:rsid w:val="008C627D"/>
    <w:rsid w:val="008D103A"/>
    <w:rsid w:val="008D20B1"/>
    <w:rsid w:val="008D232C"/>
    <w:rsid w:val="008D26A2"/>
    <w:rsid w:val="008D3700"/>
    <w:rsid w:val="008D3D2D"/>
    <w:rsid w:val="008D4CD5"/>
    <w:rsid w:val="008D55BB"/>
    <w:rsid w:val="008D56B1"/>
    <w:rsid w:val="008D58B6"/>
    <w:rsid w:val="008D5DE7"/>
    <w:rsid w:val="008D61BF"/>
    <w:rsid w:val="008D6888"/>
    <w:rsid w:val="008D689F"/>
    <w:rsid w:val="008D7B66"/>
    <w:rsid w:val="008E0086"/>
    <w:rsid w:val="008E0136"/>
    <w:rsid w:val="008E0183"/>
    <w:rsid w:val="008E067E"/>
    <w:rsid w:val="008E209F"/>
    <w:rsid w:val="008E22C9"/>
    <w:rsid w:val="008E2312"/>
    <w:rsid w:val="008E273B"/>
    <w:rsid w:val="008E3924"/>
    <w:rsid w:val="008E4742"/>
    <w:rsid w:val="008E4B1C"/>
    <w:rsid w:val="008E4C9D"/>
    <w:rsid w:val="008E5325"/>
    <w:rsid w:val="008E64BC"/>
    <w:rsid w:val="008E6D6D"/>
    <w:rsid w:val="008E6F3D"/>
    <w:rsid w:val="008E6F82"/>
    <w:rsid w:val="008F26FA"/>
    <w:rsid w:val="008F3200"/>
    <w:rsid w:val="008F4266"/>
    <w:rsid w:val="008F4A86"/>
    <w:rsid w:val="008F55D1"/>
    <w:rsid w:val="008F698A"/>
    <w:rsid w:val="008F6D31"/>
    <w:rsid w:val="008F7611"/>
    <w:rsid w:val="00900743"/>
    <w:rsid w:val="00900B4A"/>
    <w:rsid w:val="00900F3F"/>
    <w:rsid w:val="00901F8F"/>
    <w:rsid w:val="00901FE5"/>
    <w:rsid w:val="009026EE"/>
    <w:rsid w:val="00902A0D"/>
    <w:rsid w:val="00903654"/>
    <w:rsid w:val="009058B7"/>
    <w:rsid w:val="00905950"/>
    <w:rsid w:val="0090611E"/>
    <w:rsid w:val="0090613C"/>
    <w:rsid w:val="00906937"/>
    <w:rsid w:val="00906964"/>
    <w:rsid w:val="00906C62"/>
    <w:rsid w:val="00907193"/>
    <w:rsid w:val="00907E64"/>
    <w:rsid w:val="00910920"/>
    <w:rsid w:val="00911585"/>
    <w:rsid w:val="00912841"/>
    <w:rsid w:val="00913513"/>
    <w:rsid w:val="0091360E"/>
    <w:rsid w:val="0091361B"/>
    <w:rsid w:val="00914FE2"/>
    <w:rsid w:val="009152EB"/>
    <w:rsid w:val="00915571"/>
    <w:rsid w:val="00916068"/>
    <w:rsid w:val="0091639F"/>
    <w:rsid w:val="0091646C"/>
    <w:rsid w:val="009167FD"/>
    <w:rsid w:val="0092010A"/>
    <w:rsid w:val="0092024A"/>
    <w:rsid w:val="00921AA2"/>
    <w:rsid w:val="00922B41"/>
    <w:rsid w:val="00922E83"/>
    <w:rsid w:val="00922FC6"/>
    <w:rsid w:val="00923707"/>
    <w:rsid w:val="009240C6"/>
    <w:rsid w:val="009249D7"/>
    <w:rsid w:val="00924E7F"/>
    <w:rsid w:val="009250DB"/>
    <w:rsid w:val="0092533F"/>
    <w:rsid w:val="0092542E"/>
    <w:rsid w:val="00925717"/>
    <w:rsid w:val="009269C7"/>
    <w:rsid w:val="00927538"/>
    <w:rsid w:val="009303C2"/>
    <w:rsid w:val="00930831"/>
    <w:rsid w:val="00930AF2"/>
    <w:rsid w:val="00930FBB"/>
    <w:rsid w:val="009313B1"/>
    <w:rsid w:val="0093177F"/>
    <w:rsid w:val="0093182C"/>
    <w:rsid w:val="00931876"/>
    <w:rsid w:val="0093188B"/>
    <w:rsid w:val="00931899"/>
    <w:rsid w:val="00931B88"/>
    <w:rsid w:val="00931BCE"/>
    <w:rsid w:val="009320E2"/>
    <w:rsid w:val="009322DA"/>
    <w:rsid w:val="009336C2"/>
    <w:rsid w:val="00934188"/>
    <w:rsid w:val="009342A2"/>
    <w:rsid w:val="00934965"/>
    <w:rsid w:val="00934B13"/>
    <w:rsid w:val="00935215"/>
    <w:rsid w:val="00935406"/>
    <w:rsid w:val="00935AC9"/>
    <w:rsid w:val="00935CDE"/>
    <w:rsid w:val="00935CF9"/>
    <w:rsid w:val="00936164"/>
    <w:rsid w:val="009365AA"/>
    <w:rsid w:val="00937AF4"/>
    <w:rsid w:val="00940339"/>
    <w:rsid w:val="00940458"/>
    <w:rsid w:val="009409EC"/>
    <w:rsid w:val="00940AC5"/>
    <w:rsid w:val="009411DA"/>
    <w:rsid w:val="00941376"/>
    <w:rsid w:val="00941655"/>
    <w:rsid w:val="00942A50"/>
    <w:rsid w:val="00942B68"/>
    <w:rsid w:val="00943426"/>
    <w:rsid w:val="009439EC"/>
    <w:rsid w:val="00944A63"/>
    <w:rsid w:val="00944D4C"/>
    <w:rsid w:val="00944F9B"/>
    <w:rsid w:val="009465BB"/>
    <w:rsid w:val="009476A1"/>
    <w:rsid w:val="0095055E"/>
    <w:rsid w:val="009506F3"/>
    <w:rsid w:val="00950D3D"/>
    <w:rsid w:val="009515FB"/>
    <w:rsid w:val="009517C3"/>
    <w:rsid w:val="0095198E"/>
    <w:rsid w:val="0095393F"/>
    <w:rsid w:val="00954AEB"/>
    <w:rsid w:val="00955B53"/>
    <w:rsid w:val="00955E75"/>
    <w:rsid w:val="00956DEE"/>
    <w:rsid w:val="00957477"/>
    <w:rsid w:val="009574D8"/>
    <w:rsid w:val="009576C5"/>
    <w:rsid w:val="00957A0F"/>
    <w:rsid w:val="00957D27"/>
    <w:rsid w:val="009600D4"/>
    <w:rsid w:val="00960401"/>
    <w:rsid w:val="00960E2C"/>
    <w:rsid w:val="00961659"/>
    <w:rsid w:val="00961720"/>
    <w:rsid w:val="00961883"/>
    <w:rsid w:val="009619A7"/>
    <w:rsid w:val="009632ED"/>
    <w:rsid w:val="0096330E"/>
    <w:rsid w:val="0096425A"/>
    <w:rsid w:val="00965632"/>
    <w:rsid w:val="00965EC5"/>
    <w:rsid w:val="00966397"/>
    <w:rsid w:val="009663F9"/>
    <w:rsid w:val="009669E5"/>
    <w:rsid w:val="00967CC6"/>
    <w:rsid w:val="00970230"/>
    <w:rsid w:val="00971123"/>
    <w:rsid w:val="009726A4"/>
    <w:rsid w:val="0097296A"/>
    <w:rsid w:val="00972984"/>
    <w:rsid w:val="00973B6C"/>
    <w:rsid w:val="00973F47"/>
    <w:rsid w:val="0097481B"/>
    <w:rsid w:val="00974994"/>
    <w:rsid w:val="00974B4F"/>
    <w:rsid w:val="00974B9D"/>
    <w:rsid w:val="00975E24"/>
    <w:rsid w:val="00975F22"/>
    <w:rsid w:val="00975F80"/>
    <w:rsid w:val="0097600F"/>
    <w:rsid w:val="00976828"/>
    <w:rsid w:val="00976F79"/>
    <w:rsid w:val="009776EC"/>
    <w:rsid w:val="009777B7"/>
    <w:rsid w:val="009779CA"/>
    <w:rsid w:val="009814FE"/>
    <w:rsid w:val="00982098"/>
    <w:rsid w:val="0098266F"/>
    <w:rsid w:val="009827F3"/>
    <w:rsid w:val="00982F49"/>
    <w:rsid w:val="00983711"/>
    <w:rsid w:val="0098426A"/>
    <w:rsid w:val="0098469D"/>
    <w:rsid w:val="00985ED2"/>
    <w:rsid w:val="009868E7"/>
    <w:rsid w:val="009907F8"/>
    <w:rsid w:val="009917A1"/>
    <w:rsid w:val="00991861"/>
    <w:rsid w:val="009918CC"/>
    <w:rsid w:val="00991D6C"/>
    <w:rsid w:val="009921ED"/>
    <w:rsid w:val="0099307C"/>
    <w:rsid w:val="0099364A"/>
    <w:rsid w:val="009948EE"/>
    <w:rsid w:val="00994ACF"/>
    <w:rsid w:val="00994B39"/>
    <w:rsid w:val="00994BB6"/>
    <w:rsid w:val="00994D0F"/>
    <w:rsid w:val="00996A31"/>
    <w:rsid w:val="00996AD4"/>
    <w:rsid w:val="00996EBF"/>
    <w:rsid w:val="0099777B"/>
    <w:rsid w:val="0099785C"/>
    <w:rsid w:val="00997FF2"/>
    <w:rsid w:val="009A0618"/>
    <w:rsid w:val="009A09FF"/>
    <w:rsid w:val="009A0B6F"/>
    <w:rsid w:val="009A141F"/>
    <w:rsid w:val="009A1ACB"/>
    <w:rsid w:val="009A1FBC"/>
    <w:rsid w:val="009A2596"/>
    <w:rsid w:val="009A2F77"/>
    <w:rsid w:val="009A314C"/>
    <w:rsid w:val="009A40F9"/>
    <w:rsid w:val="009A4C4B"/>
    <w:rsid w:val="009A5720"/>
    <w:rsid w:val="009A5B48"/>
    <w:rsid w:val="009A5BB9"/>
    <w:rsid w:val="009A5BED"/>
    <w:rsid w:val="009A5ED1"/>
    <w:rsid w:val="009A7F1A"/>
    <w:rsid w:val="009B00C3"/>
    <w:rsid w:val="009B047A"/>
    <w:rsid w:val="009B05AF"/>
    <w:rsid w:val="009B0C7F"/>
    <w:rsid w:val="009B147E"/>
    <w:rsid w:val="009B1566"/>
    <w:rsid w:val="009B16D3"/>
    <w:rsid w:val="009B19EC"/>
    <w:rsid w:val="009B1C48"/>
    <w:rsid w:val="009B1DB3"/>
    <w:rsid w:val="009B1DEE"/>
    <w:rsid w:val="009B2E4B"/>
    <w:rsid w:val="009B3A96"/>
    <w:rsid w:val="009B441A"/>
    <w:rsid w:val="009B4A3C"/>
    <w:rsid w:val="009B5C03"/>
    <w:rsid w:val="009B61A7"/>
    <w:rsid w:val="009B61D9"/>
    <w:rsid w:val="009B64A5"/>
    <w:rsid w:val="009B6923"/>
    <w:rsid w:val="009B6B66"/>
    <w:rsid w:val="009B6E26"/>
    <w:rsid w:val="009B70CF"/>
    <w:rsid w:val="009B7868"/>
    <w:rsid w:val="009C051B"/>
    <w:rsid w:val="009C0715"/>
    <w:rsid w:val="009C0A7F"/>
    <w:rsid w:val="009C10A8"/>
    <w:rsid w:val="009C1D2C"/>
    <w:rsid w:val="009C260D"/>
    <w:rsid w:val="009C3949"/>
    <w:rsid w:val="009C44E8"/>
    <w:rsid w:val="009C5584"/>
    <w:rsid w:val="009C685E"/>
    <w:rsid w:val="009C758F"/>
    <w:rsid w:val="009D01FE"/>
    <w:rsid w:val="009D0375"/>
    <w:rsid w:val="009D069C"/>
    <w:rsid w:val="009D07CB"/>
    <w:rsid w:val="009D12D2"/>
    <w:rsid w:val="009D1659"/>
    <w:rsid w:val="009D17B8"/>
    <w:rsid w:val="009D1A33"/>
    <w:rsid w:val="009D1B90"/>
    <w:rsid w:val="009D21B0"/>
    <w:rsid w:val="009D21FD"/>
    <w:rsid w:val="009D2210"/>
    <w:rsid w:val="009D29D9"/>
    <w:rsid w:val="009D374E"/>
    <w:rsid w:val="009D3F57"/>
    <w:rsid w:val="009D4043"/>
    <w:rsid w:val="009D49F7"/>
    <w:rsid w:val="009D4CBA"/>
    <w:rsid w:val="009D5C47"/>
    <w:rsid w:val="009D5E8C"/>
    <w:rsid w:val="009D6D83"/>
    <w:rsid w:val="009D73E4"/>
    <w:rsid w:val="009E02B4"/>
    <w:rsid w:val="009E068B"/>
    <w:rsid w:val="009E0CA8"/>
    <w:rsid w:val="009E129A"/>
    <w:rsid w:val="009E19C2"/>
    <w:rsid w:val="009E27D1"/>
    <w:rsid w:val="009E347C"/>
    <w:rsid w:val="009E40EB"/>
    <w:rsid w:val="009E5819"/>
    <w:rsid w:val="009E5F33"/>
    <w:rsid w:val="009E6881"/>
    <w:rsid w:val="009E68CE"/>
    <w:rsid w:val="009E6D83"/>
    <w:rsid w:val="009E6E41"/>
    <w:rsid w:val="009E6E54"/>
    <w:rsid w:val="009E70BE"/>
    <w:rsid w:val="009E717A"/>
    <w:rsid w:val="009F02D5"/>
    <w:rsid w:val="009F07B0"/>
    <w:rsid w:val="009F08A8"/>
    <w:rsid w:val="009F0F37"/>
    <w:rsid w:val="009F1226"/>
    <w:rsid w:val="009F1503"/>
    <w:rsid w:val="009F187F"/>
    <w:rsid w:val="009F2C5B"/>
    <w:rsid w:val="009F3495"/>
    <w:rsid w:val="009F43D1"/>
    <w:rsid w:val="009F4A25"/>
    <w:rsid w:val="009F4D3A"/>
    <w:rsid w:val="009F508D"/>
    <w:rsid w:val="009F561F"/>
    <w:rsid w:val="009F5AF2"/>
    <w:rsid w:val="009F673C"/>
    <w:rsid w:val="009F7BB6"/>
    <w:rsid w:val="009F7DB6"/>
    <w:rsid w:val="00A01847"/>
    <w:rsid w:val="00A029D7"/>
    <w:rsid w:val="00A05242"/>
    <w:rsid w:val="00A05B2A"/>
    <w:rsid w:val="00A05F0C"/>
    <w:rsid w:val="00A05FF0"/>
    <w:rsid w:val="00A06946"/>
    <w:rsid w:val="00A10264"/>
    <w:rsid w:val="00A102C1"/>
    <w:rsid w:val="00A1055B"/>
    <w:rsid w:val="00A113FA"/>
    <w:rsid w:val="00A12A3E"/>
    <w:rsid w:val="00A130CB"/>
    <w:rsid w:val="00A13B83"/>
    <w:rsid w:val="00A14310"/>
    <w:rsid w:val="00A143CB"/>
    <w:rsid w:val="00A14495"/>
    <w:rsid w:val="00A14B91"/>
    <w:rsid w:val="00A15B76"/>
    <w:rsid w:val="00A15C21"/>
    <w:rsid w:val="00A16726"/>
    <w:rsid w:val="00A16C36"/>
    <w:rsid w:val="00A17560"/>
    <w:rsid w:val="00A20003"/>
    <w:rsid w:val="00A202D8"/>
    <w:rsid w:val="00A202DB"/>
    <w:rsid w:val="00A21B91"/>
    <w:rsid w:val="00A228DD"/>
    <w:rsid w:val="00A22EB5"/>
    <w:rsid w:val="00A23781"/>
    <w:rsid w:val="00A2382B"/>
    <w:rsid w:val="00A2405F"/>
    <w:rsid w:val="00A24C77"/>
    <w:rsid w:val="00A24EB1"/>
    <w:rsid w:val="00A25506"/>
    <w:rsid w:val="00A25CE3"/>
    <w:rsid w:val="00A25F2D"/>
    <w:rsid w:val="00A2661E"/>
    <w:rsid w:val="00A26834"/>
    <w:rsid w:val="00A26FB7"/>
    <w:rsid w:val="00A27F1E"/>
    <w:rsid w:val="00A3004C"/>
    <w:rsid w:val="00A30379"/>
    <w:rsid w:val="00A305A6"/>
    <w:rsid w:val="00A30E9D"/>
    <w:rsid w:val="00A3199B"/>
    <w:rsid w:val="00A33C30"/>
    <w:rsid w:val="00A34441"/>
    <w:rsid w:val="00A34525"/>
    <w:rsid w:val="00A346AA"/>
    <w:rsid w:val="00A359E8"/>
    <w:rsid w:val="00A361CD"/>
    <w:rsid w:val="00A36741"/>
    <w:rsid w:val="00A37877"/>
    <w:rsid w:val="00A3791D"/>
    <w:rsid w:val="00A402CE"/>
    <w:rsid w:val="00A4054A"/>
    <w:rsid w:val="00A4075B"/>
    <w:rsid w:val="00A407A9"/>
    <w:rsid w:val="00A4094D"/>
    <w:rsid w:val="00A40E73"/>
    <w:rsid w:val="00A4215C"/>
    <w:rsid w:val="00A4283D"/>
    <w:rsid w:val="00A429BB"/>
    <w:rsid w:val="00A42E96"/>
    <w:rsid w:val="00A43FC2"/>
    <w:rsid w:val="00A44708"/>
    <w:rsid w:val="00A44CB2"/>
    <w:rsid w:val="00A44D1E"/>
    <w:rsid w:val="00A451A8"/>
    <w:rsid w:val="00A45372"/>
    <w:rsid w:val="00A4676E"/>
    <w:rsid w:val="00A51426"/>
    <w:rsid w:val="00A524C1"/>
    <w:rsid w:val="00A5289C"/>
    <w:rsid w:val="00A534AB"/>
    <w:rsid w:val="00A539A1"/>
    <w:rsid w:val="00A544FF"/>
    <w:rsid w:val="00A54B69"/>
    <w:rsid w:val="00A54E87"/>
    <w:rsid w:val="00A55A6E"/>
    <w:rsid w:val="00A56B91"/>
    <w:rsid w:val="00A56BB6"/>
    <w:rsid w:val="00A56F0B"/>
    <w:rsid w:val="00A5700B"/>
    <w:rsid w:val="00A57D72"/>
    <w:rsid w:val="00A60901"/>
    <w:rsid w:val="00A609FF"/>
    <w:rsid w:val="00A612CD"/>
    <w:rsid w:val="00A61C84"/>
    <w:rsid w:val="00A62D98"/>
    <w:rsid w:val="00A62E8E"/>
    <w:rsid w:val="00A6392F"/>
    <w:rsid w:val="00A63B16"/>
    <w:rsid w:val="00A63C47"/>
    <w:rsid w:val="00A63EDF"/>
    <w:rsid w:val="00A64902"/>
    <w:rsid w:val="00A65889"/>
    <w:rsid w:val="00A65EE1"/>
    <w:rsid w:val="00A66659"/>
    <w:rsid w:val="00A672EE"/>
    <w:rsid w:val="00A67589"/>
    <w:rsid w:val="00A67E68"/>
    <w:rsid w:val="00A67FB9"/>
    <w:rsid w:val="00A7003A"/>
    <w:rsid w:val="00A718A0"/>
    <w:rsid w:val="00A71A9C"/>
    <w:rsid w:val="00A71DA9"/>
    <w:rsid w:val="00A72A09"/>
    <w:rsid w:val="00A72EFD"/>
    <w:rsid w:val="00A73059"/>
    <w:rsid w:val="00A73BDD"/>
    <w:rsid w:val="00A7417B"/>
    <w:rsid w:val="00A7419D"/>
    <w:rsid w:val="00A74754"/>
    <w:rsid w:val="00A751CF"/>
    <w:rsid w:val="00A76212"/>
    <w:rsid w:val="00A76299"/>
    <w:rsid w:val="00A76F15"/>
    <w:rsid w:val="00A76FF0"/>
    <w:rsid w:val="00A80A9A"/>
    <w:rsid w:val="00A80B83"/>
    <w:rsid w:val="00A82343"/>
    <w:rsid w:val="00A823FD"/>
    <w:rsid w:val="00A82C29"/>
    <w:rsid w:val="00A83868"/>
    <w:rsid w:val="00A839AB"/>
    <w:rsid w:val="00A84993"/>
    <w:rsid w:val="00A849A0"/>
    <w:rsid w:val="00A84A2C"/>
    <w:rsid w:val="00A84BE6"/>
    <w:rsid w:val="00A84D3C"/>
    <w:rsid w:val="00A84D6A"/>
    <w:rsid w:val="00A84F70"/>
    <w:rsid w:val="00A85AD2"/>
    <w:rsid w:val="00A85BC1"/>
    <w:rsid w:val="00A8615E"/>
    <w:rsid w:val="00A8640A"/>
    <w:rsid w:val="00A86443"/>
    <w:rsid w:val="00A87640"/>
    <w:rsid w:val="00A903DB"/>
    <w:rsid w:val="00A9094C"/>
    <w:rsid w:val="00A90BD3"/>
    <w:rsid w:val="00A90E08"/>
    <w:rsid w:val="00A914D2"/>
    <w:rsid w:val="00A91A04"/>
    <w:rsid w:val="00A926D7"/>
    <w:rsid w:val="00A931B5"/>
    <w:rsid w:val="00A931EE"/>
    <w:rsid w:val="00A934D7"/>
    <w:rsid w:val="00A941E8"/>
    <w:rsid w:val="00A947F4"/>
    <w:rsid w:val="00A963B6"/>
    <w:rsid w:val="00A973DC"/>
    <w:rsid w:val="00A97899"/>
    <w:rsid w:val="00AA0E66"/>
    <w:rsid w:val="00AA13A3"/>
    <w:rsid w:val="00AA14EA"/>
    <w:rsid w:val="00AA1759"/>
    <w:rsid w:val="00AA3252"/>
    <w:rsid w:val="00AA3482"/>
    <w:rsid w:val="00AA3D89"/>
    <w:rsid w:val="00AA4A08"/>
    <w:rsid w:val="00AA4EB5"/>
    <w:rsid w:val="00AA523E"/>
    <w:rsid w:val="00AA6AB7"/>
    <w:rsid w:val="00AA7426"/>
    <w:rsid w:val="00AA7652"/>
    <w:rsid w:val="00AB0069"/>
    <w:rsid w:val="00AB0289"/>
    <w:rsid w:val="00AB1243"/>
    <w:rsid w:val="00AB133E"/>
    <w:rsid w:val="00AB1D16"/>
    <w:rsid w:val="00AB2807"/>
    <w:rsid w:val="00AB2913"/>
    <w:rsid w:val="00AB308F"/>
    <w:rsid w:val="00AB3CAE"/>
    <w:rsid w:val="00AB40B5"/>
    <w:rsid w:val="00AB4DA5"/>
    <w:rsid w:val="00AB5F5E"/>
    <w:rsid w:val="00AB5FE0"/>
    <w:rsid w:val="00AB66BA"/>
    <w:rsid w:val="00AB6820"/>
    <w:rsid w:val="00AB6A5D"/>
    <w:rsid w:val="00AB6A6F"/>
    <w:rsid w:val="00AB797E"/>
    <w:rsid w:val="00AB7B6E"/>
    <w:rsid w:val="00AC0D5F"/>
    <w:rsid w:val="00AC0E81"/>
    <w:rsid w:val="00AC1516"/>
    <w:rsid w:val="00AC1690"/>
    <w:rsid w:val="00AC1748"/>
    <w:rsid w:val="00AC183C"/>
    <w:rsid w:val="00AC2B7B"/>
    <w:rsid w:val="00AC317C"/>
    <w:rsid w:val="00AC3A8D"/>
    <w:rsid w:val="00AC4512"/>
    <w:rsid w:val="00AC4539"/>
    <w:rsid w:val="00AC4819"/>
    <w:rsid w:val="00AC4D70"/>
    <w:rsid w:val="00AC510F"/>
    <w:rsid w:val="00AC5456"/>
    <w:rsid w:val="00AC54F5"/>
    <w:rsid w:val="00AC6ADE"/>
    <w:rsid w:val="00AC70CD"/>
    <w:rsid w:val="00AC70EA"/>
    <w:rsid w:val="00AC766F"/>
    <w:rsid w:val="00AC7AA5"/>
    <w:rsid w:val="00AD0046"/>
    <w:rsid w:val="00AD02F1"/>
    <w:rsid w:val="00AD1E86"/>
    <w:rsid w:val="00AD2365"/>
    <w:rsid w:val="00AD2971"/>
    <w:rsid w:val="00AD321F"/>
    <w:rsid w:val="00AD40D4"/>
    <w:rsid w:val="00AD4653"/>
    <w:rsid w:val="00AD4BD1"/>
    <w:rsid w:val="00AD4E33"/>
    <w:rsid w:val="00AD4E3D"/>
    <w:rsid w:val="00AD5699"/>
    <w:rsid w:val="00AD6538"/>
    <w:rsid w:val="00AD69B3"/>
    <w:rsid w:val="00AE04EA"/>
    <w:rsid w:val="00AE0653"/>
    <w:rsid w:val="00AE19F1"/>
    <w:rsid w:val="00AE2088"/>
    <w:rsid w:val="00AE21A1"/>
    <w:rsid w:val="00AE36B7"/>
    <w:rsid w:val="00AE3BEC"/>
    <w:rsid w:val="00AE3EFB"/>
    <w:rsid w:val="00AE40AB"/>
    <w:rsid w:val="00AE464D"/>
    <w:rsid w:val="00AE4D62"/>
    <w:rsid w:val="00AE55BE"/>
    <w:rsid w:val="00AE5807"/>
    <w:rsid w:val="00AE5AA7"/>
    <w:rsid w:val="00AE61EC"/>
    <w:rsid w:val="00AE62EB"/>
    <w:rsid w:val="00AE6A24"/>
    <w:rsid w:val="00AE6A26"/>
    <w:rsid w:val="00AE7464"/>
    <w:rsid w:val="00AF02D7"/>
    <w:rsid w:val="00AF07AF"/>
    <w:rsid w:val="00AF0B09"/>
    <w:rsid w:val="00AF0BB4"/>
    <w:rsid w:val="00AF0CF6"/>
    <w:rsid w:val="00AF1DC1"/>
    <w:rsid w:val="00AF2205"/>
    <w:rsid w:val="00AF26A6"/>
    <w:rsid w:val="00AF3A4D"/>
    <w:rsid w:val="00AF4925"/>
    <w:rsid w:val="00AF5271"/>
    <w:rsid w:val="00AF5709"/>
    <w:rsid w:val="00AF5E4D"/>
    <w:rsid w:val="00AF6342"/>
    <w:rsid w:val="00AF738E"/>
    <w:rsid w:val="00AF755F"/>
    <w:rsid w:val="00AF7C84"/>
    <w:rsid w:val="00B00092"/>
    <w:rsid w:val="00B008D6"/>
    <w:rsid w:val="00B0122F"/>
    <w:rsid w:val="00B013BD"/>
    <w:rsid w:val="00B01ACB"/>
    <w:rsid w:val="00B022DD"/>
    <w:rsid w:val="00B036FB"/>
    <w:rsid w:val="00B03AD4"/>
    <w:rsid w:val="00B04131"/>
    <w:rsid w:val="00B0413C"/>
    <w:rsid w:val="00B04C8C"/>
    <w:rsid w:val="00B0505E"/>
    <w:rsid w:val="00B057E8"/>
    <w:rsid w:val="00B069EB"/>
    <w:rsid w:val="00B07800"/>
    <w:rsid w:val="00B07E1D"/>
    <w:rsid w:val="00B1009C"/>
    <w:rsid w:val="00B10AE9"/>
    <w:rsid w:val="00B11A2E"/>
    <w:rsid w:val="00B1204E"/>
    <w:rsid w:val="00B1241E"/>
    <w:rsid w:val="00B12A0B"/>
    <w:rsid w:val="00B14060"/>
    <w:rsid w:val="00B153F0"/>
    <w:rsid w:val="00B15669"/>
    <w:rsid w:val="00B15E14"/>
    <w:rsid w:val="00B15E7C"/>
    <w:rsid w:val="00B162A8"/>
    <w:rsid w:val="00B164B6"/>
    <w:rsid w:val="00B16760"/>
    <w:rsid w:val="00B169B5"/>
    <w:rsid w:val="00B16B4D"/>
    <w:rsid w:val="00B16E98"/>
    <w:rsid w:val="00B17900"/>
    <w:rsid w:val="00B17C1D"/>
    <w:rsid w:val="00B200A7"/>
    <w:rsid w:val="00B20862"/>
    <w:rsid w:val="00B213AB"/>
    <w:rsid w:val="00B224D2"/>
    <w:rsid w:val="00B22D48"/>
    <w:rsid w:val="00B244D1"/>
    <w:rsid w:val="00B2475E"/>
    <w:rsid w:val="00B24E27"/>
    <w:rsid w:val="00B25114"/>
    <w:rsid w:val="00B255C0"/>
    <w:rsid w:val="00B25863"/>
    <w:rsid w:val="00B25D81"/>
    <w:rsid w:val="00B25F5C"/>
    <w:rsid w:val="00B263E5"/>
    <w:rsid w:val="00B26544"/>
    <w:rsid w:val="00B2666A"/>
    <w:rsid w:val="00B26B9C"/>
    <w:rsid w:val="00B26F23"/>
    <w:rsid w:val="00B271A1"/>
    <w:rsid w:val="00B275BE"/>
    <w:rsid w:val="00B279C8"/>
    <w:rsid w:val="00B27B59"/>
    <w:rsid w:val="00B304B0"/>
    <w:rsid w:val="00B30A2D"/>
    <w:rsid w:val="00B30D14"/>
    <w:rsid w:val="00B30EDF"/>
    <w:rsid w:val="00B31354"/>
    <w:rsid w:val="00B31630"/>
    <w:rsid w:val="00B316E3"/>
    <w:rsid w:val="00B31F50"/>
    <w:rsid w:val="00B3259B"/>
    <w:rsid w:val="00B32D0E"/>
    <w:rsid w:val="00B32D26"/>
    <w:rsid w:val="00B32D86"/>
    <w:rsid w:val="00B33098"/>
    <w:rsid w:val="00B3328E"/>
    <w:rsid w:val="00B33EB9"/>
    <w:rsid w:val="00B34570"/>
    <w:rsid w:val="00B350D0"/>
    <w:rsid w:val="00B35AC6"/>
    <w:rsid w:val="00B35AEA"/>
    <w:rsid w:val="00B35FA2"/>
    <w:rsid w:val="00B363C6"/>
    <w:rsid w:val="00B36DA6"/>
    <w:rsid w:val="00B37649"/>
    <w:rsid w:val="00B37725"/>
    <w:rsid w:val="00B3781A"/>
    <w:rsid w:val="00B37A4C"/>
    <w:rsid w:val="00B40335"/>
    <w:rsid w:val="00B4078A"/>
    <w:rsid w:val="00B4175D"/>
    <w:rsid w:val="00B42797"/>
    <w:rsid w:val="00B42C6A"/>
    <w:rsid w:val="00B43027"/>
    <w:rsid w:val="00B43660"/>
    <w:rsid w:val="00B436F2"/>
    <w:rsid w:val="00B4575C"/>
    <w:rsid w:val="00B4647F"/>
    <w:rsid w:val="00B46AC1"/>
    <w:rsid w:val="00B46AE4"/>
    <w:rsid w:val="00B505E8"/>
    <w:rsid w:val="00B507C2"/>
    <w:rsid w:val="00B50A7D"/>
    <w:rsid w:val="00B51AC2"/>
    <w:rsid w:val="00B527EE"/>
    <w:rsid w:val="00B53456"/>
    <w:rsid w:val="00B539CC"/>
    <w:rsid w:val="00B53CFE"/>
    <w:rsid w:val="00B5441C"/>
    <w:rsid w:val="00B54505"/>
    <w:rsid w:val="00B54C97"/>
    <w:rsid w:val="00B55C41"/>
    <w:rsid w:val="00B56A40"/>
    <w:rsid w:val="00B57030"/>
    <w:rsid w:val="00B60A6B"/>
    <w:rsid w:val="00B60B0C"/>
    <w:rsid w:val="00B60F6B"/>
    <w:rsid w:val="00B614B6"/>
    <w:rsid w:val="00B626DD"/>
    <w:rsid w:val="00B635FF"/>
    <w:rsid w:val="00B63A8F"/>
    <w:rsid w:val="00B64418"/>
    <w:rsid w:val="00B644CE"/>
    <w:rsid w:val="00B64D06"/>
    <w:rsid w:val="00B64F05"/>
    <w:rsid w:val="00B65D48"/>
    <w:rsid w:val="00B663F5"/>
    <w:rsid w:val="00B6653D"/>
    <w:rsid w:val="00B665BA"/>
    <w:rsid w:val="00B6660A"/>
    <w:rsid w:val="00B66875"/>
    <w:rsid w:val="00B668D9"/>
    <w:rsid w:val="00B66F47"/>
    <w:rsid w:val="00B67885"/>
    <w:rsid w:val="00B67DEA"/>
    <w:rsid w:val="00B706F8"/>
    <w:rsid w:val="00B70C70"/>
    <w:rsid w:val="00B70EE7"/>
    <w:rsid w:val="00B72594"/>
    <w:rsid w:val="00B7362B"/>
    <w:rsid w:val="00B74419"/>
    <w:rsid w:val="00B74660"/>
    <w:rsid w:val="00B74754"/>
    <w:rsid w:val="00B7540E"/>
    <w:rsid w:val="00B76F22"/>
    <w:rsid w:val="00B7705D"/>
    <w:rsid w:val="00B7739F"/>
    <w:rsid w:val="00B77AAF"/>
    <w:rsid w:val="00B77BAC"/>
    <w:rsid w:val="00B77CDE"/>
    <w:rsid w:val="00B77F51"/>
    <w:rsid w:val="00B77FA2"/>
    <w:rsid w:val="00B80B10"/>
    <w:rsid w:val="00B81A1D"/>
    <w:rsid w:val="00B81C36"/>
    <w:rsid w:val="00B821B3"/>
    <w:rsid w:val="00B824FE"/>
    <w:rsid w:val="00B83001"/>
    <w:rsid w:val="00B8303F"/>
    <w:rsid w:val="00B8337E"/>
    <w:rsid w:val="00B833F4"/>
    <w:rsid w:val="00B86016"/>
    <w:rsid w:val="00B865E6"/>
    <w:rsid w:val="00B874F4"/>
    <w:rsid w:val="00B9014B"/>
    <w:rsid w:val="00B909D7"/>
    <w:rsid w:val="00B90D02"/>
    <w:rsid w:val="00B916B6"/>
    <w:rsid w:val="00B91755"/>
    <w:rsid w:val="00B91B0B"/>
    <w:rsid w:val="00B91F08"/>
    <w:rsid w:val="00B922B1"/>
    <w:rsid w:val="00B92EE3"/>
    <w:rsid w:val="00B933A0"/>
    <w:rsid w:val="00B939CF"/>
    <w:rsid w:val="00B9516B"/>
    <w:rsid w:val="00B96155"/>
    <w:rsid w:val="00B972B3"/>
    <w:rsid w:val="00B9739C"/>
    <w:rsid w:val="00B973D7"/>
    <w:rsid w:val="00B97570"/>
    <w:rsid w:val="00BA016D"/>
    <w:rsid w:val="00BA07F5"/>
    <w:rsid w:val="00BA080A"/>
    <w:rsid w:val="00BA0BF9"/>
    <w:rsid w:val="00BA1BB8"/>
    <w:rsid w:val="00BA1C70"/>
    <w:rsid w:val="00BA278A"/>
    <w:rsid w:val="00BA29E1"/>
    <w:rsid w:val="00BA2B54"/>
    <w:rsid w:val="00BA3B7C"/>
    <w:rsid w:val="00BA42CF"/>
    <w:rsid w:val="00BA458D"/>
    <w:rsid w:val="00BA506B"/>
    <w:rsid w:val="00BA5796"/>
    <w:rsid w:val="00BA5FD1"/>
    <w:rsid w:val="00BA6C3F"/>
    <w:rsid w:val="00BA73BF"/>
    <w:rsid w:val="00BA7A11"/>
    <w:rsid w:val="00BA7F3D"/>
    <w:rsid w:val="00BB06B2"/>
    <w:rsid w:val="00BB0864"/>
    <w:rsid w:val="00BB224D"/>
    <w:rsid w:val="00BB25A1"/>
    <w:rsid w:val="00BB2D2F"/>
    <w:rsid w:val="00BB2ED5"/>
    <w:rsid w:val="00BB2F44"/>
    <w:rsid w:val="00BB36D6"/>
    <w:rsid w:val="00BB395F"/>
    <w:rsid w:val="00BB4656"/>
    <w:rsid w:val="00BB4E3E"/>
    <w:rsid w:val="00BB55B2"/>
    <w:rsid w:val="00BB61C4"/>
    <w:rsid w:val="00BB7055"/>
    <w:rsid w:val="00BB7147"/>
    <w:rsid w:val="00BC0C56"/>
    <w:rsid w:val="00BC0EBE"/>
    <w:rsid w:val="00BC14A1"/>
    <w:rsid w:val="00BC26F0"/>
    <w:rsid w:val="00BC4E8D"/>
    <w:rsid w:val="00BC59EF"/>
    <w:rsid w:val="00BC5A08"/>
    <w:rsid w:val="00BC5BA8"/>
    <w:rsid w:val="00BC6881"/>
    <w:rsid w:val="00BC7F3C"/>
    <w:rsid w:val="00BC7F9A"/>
    <w:rsid w:val="00BD0170"/>
    <w:rsid w:val="00BD0189"/>
    <w:rsid w:val="00BD0546"/>
    <w:rsid w:val="00BD1055"/>
    <w:rsid w:val="00BD1963"/>
    <w:rsid w:val="00BD2010"/>
    <w:rsid w:val="00BD2153"/>
    <w:rsid w:val="00BD254B"/>
    <w:rsid w:val="00BD2F08"/>
    <w:rsid w:val="00BD3BD4"/>
    <w:rsid w:val="00BD3DD4"/>
    <w:rsid w:val="00BD4931"/>
    <w:rsid w:val="00BD4BFC"/>
    <w:rsid w:val="00BD4D2F"/>
    <w:rsid w:val="00BD4E2F"/>
    <w:rsid w:val="00BD5A01"/>
    <w:rsid w:val="00BD5D37"/>
    <w:rsid w:val="00BD64A4"/>
    <w:rsid w:val="00BD6BF0"/>
    <w:rsid w:val="00BD6C77"/>
    <w:rsid w:val="00BD6D74"/>
    <w:rsid w:val="00BD7CF5"/>
    <w:rsid w:val="00BE012C"/>
    <w:rsid w:val="00BE0216"/>
    <w:rsid w:val="00BE0218"/>
    <w:rsid w:val="00BE1869"/>
    <w:rsid w:val="00BE218E"/>
    <w:rsid w:val="00BE22E6"/>
    <w:rsid w:val="00BE3FE8"/>
    <w:rsid w:val="00BE4EEC"/>
    <w:rsid w:val="00BE5333"/>
    <w:rsid w:val="00BE5AEA"/>
    <w:rsid w:val="00BE6B9B"/>
    <w:rsid w:val="00BE6EFC"/>
    <w:rsid w:val="00BE79BC"/>
    <w:rsid w:val="00BF132F"/>
    <w:rsid w:val="00BF170E"/>
    <w:rsid w:val="00BF200A"/>
    <w:rsid w:val="00BF2135"/>
    <w:rsid w:val="00BF24FC"/>
    <w:rsid w:val="00BF2722"/>
    <w:rsid w:val="00BF2CC2"/>
    <w:rsid w:val="00BF352A"/>
    <w:rsid w:val="00BF3764"/>
    <w:rsid w:val="00BF3837"/>
    <w:rsid w:val="00BF38E9"/>
    <w:rsid w:val="00BF39FD"/>
    <w:rsid w:val="00BF3BAE"/>
    <w:rsid w:val="00BF4BDC"/>
    <w:rsid w:val="00BF4C06"/>
    <w:rsid w:val="00BF4C48"/>
    <w:rsid w:val="00BF4C95"/>
    <w:rsid w:val="00BF5256"/>
    <w:rsid w:val="00BF6148"/>
    <w:rsid w:val="00BF6960"/>
    <w:rsid w:val="00BF7392"/>
    <w:rsid w:val="00BF756F"/>
    <w:rsid w:val="00C007E2"/>
    <w:rsid w:val="00C007E3"/>
    <w:rsid w:val="00C00AF2"/>
    <w:rsid w:val="00C02074"/>
    <w:rsid w:val="00C02155"/>
    <w:rsid w:val="00C021E0"/>
    <w:rsid w:val="00C035BA"/>
    <w:rsid w:val="00C03686"/>
    <w:rsid w:val="00C03EEC"/>
    <w:rsid w:val="00C0469D"/>
    <w:rsid w:val="00C04C4F"/>
    <w:rsid w:val="00C05029"/>
    <w:rsid w:val="00C054D8"/>
    <w:rsid w:val="00C05E8C"/>
    <w:rsid w:val="00C065C4"/>
    <w:rsid w:val="00C06A4B"/>
    <w:rsid w:val="00C10A1B"/>
    <w:rsid w:val="00C10DEB"/>
    <w:rsid w:val="00C10FC4"/>
    <w:rsid w:val="00C11DA6"/>
    <w:rsid w:val="00C12349"/>
    <w:rsid w:val="00C12501"/>
    <w:rsid w:val="00C1326E"/>
    <w:rsid w:val="00C13C9E"/>
    <w:rsid w:val="00C14504"/>
    <w:rsid w:val="00C147A3"/>
    <w:rsid w:val="00C14DC1"/>
    <w:rsid w:val="00C156F6"/>
    <w:rsid w:val="00C15FC4"/>
    <w:rsid w:val="00C16F6F"/>
    <w:rsid w:val="00C16F7C"/>
    <w:rsid w:val="00C174B2"/>
    <w:rsid w:val="00C20BE3"/>
    <w:rsid w:val="00C20FC5"/>
    <w:rsid w:val="00C217D0"/>
    <w:rsid w:val="00C21878"/>
    <w:rsid w:val="00C22BCB"/>
    <w:rsid w:val="00C22FA3"/>
    <w:rsid w:val="00C247B0"/>
    <w:rsid w:val="00C24D26"/>
    <w:rsid w:val="00C252A5"/>
    <w:rsid w:val="00C25514"/>
    <w:rsid w:val="00C25BE4"/>
    <w:rsid w:val="00C25C52"/>
    <w:rsid w:val="00C2601A"/>
    <w:rsid w:val="00C26FE1"/>
    <w:rsid w:val="00C27C3C"/>
    <w:rsid w:val="00C305C8"/>
    <w:rsid w:val="00C3114C"/>
    <w:rsid w:val="00C326CC"/>
    <w:rsid w:val="00C32C9E"/>
    <w:rsid w:val="00C33E53"/>
    <w:rsid w:val="00C34894"/>
    <w:rsid w:val="00C35165"/>
    <w:rsid w:val="00C35932"/>
    <w:rsid w:val="00C370CC"/>
    <w:rsid w:val="00C3791E"/>
    <w:rsid w:val="00C40F14"/>
    <w:rsid w:val="00C412D5"/>
    <w:rsid w:val="00C4173E"/>
    <w:rsid w:val="00C42024"/>
    <w:rsid w:val="00C42533"/>
    <w:rsid w:val="00C42D95"/>
    <w:rsid w:val="00C436B6"/>
    <w:rsid w:val="00C43755"/>
    <w:rsid w:val="00C443AF"/>
    <w:rsid w:val="00C444B4"/>
    <w:rsid w:val="00C44659"/>
    <w:rsid w:val="00C44D8F"/>
    <w:rsid w:val="00C45350"/>
    <w:rsid w:val="00C45352"/>
    <w:rsid w:val="00C45AF7"/>
    <w:rsid w:val="00C45FC4"/>
    <w:rsid w:val="00C4622B"/>
    <w:rsid w:val="00C46706"/>
    <w:rsid w:val="00C47079"/>
    <w:rsid w:val="00C47100"/>
    <w:rsid w:val="00C471C8"/>
    <w:rsid w:val="00C474A6"/>
    <w:rsid w:val="00C50E3F"/>
    <w:rsid w:val="00C51AE6"/>
    <w:rsid w:val="00C521F5"/>
    <w:rsid w:val="00C54418"/>
    <w:rsid w:val="00C54F86"/>
    <w:rsid w:val="00C55531"/>
    <w:rsid w:val="00C558EB"/>
    <w:rsid w:val="00C5597E"/>
    <w:rsid w:val="00C55DD5"/>
    <w:rsid w:val="00C566F8"/>
    <w:rsid w:val="00C57168"/>
    <w:rsid w:val="00C5779B"/>
    <w:rsid w:val="00C578B6"/>
    <w:rsid w:val="00C57CF1"/>
    <w:rsid w:val="00C60B80"/>
    <w:rsid w:val="00C627D5"/>
    <w:rsid w:val="00C62B92"/>
    <w:rsid w:val="00C635AF"/>
    <w:rsid w:val="00C6376A"/>
    <w:rsid w:val="00C638CA"/>
    <w:rsid w:val="00C63AF8"/>
    <w:rsid w:val="00C64171"/>
    <w:rsid w:val="00C64311"/>
    <w:rsid w:val="00C64618"/>
    <w:rsid w:val="00C6471B"/>
    <w:rsid w:val="00C647F4"/>
    <w:rsid w:val="00C648F6"/>
    <w:rsid w:val="00C65726"/>
    <w:rsid w:val="00C65963"/>
    <w:rsid w:val="00C65ED1"/>
    <w:rsid w:val="00C6608A"/>
    <w:rsid w:val="00C676F5"/>
    <w:rsid w:val="00C67895"/>
    <w:rsid w:val="00C67912"/>
    <w:rsid w:val="00C70435"/>
    <w:rsid w:val="00C71331"/>
    <w:rsid w:val="00C730BE"/>
    <w:rsid w:val="00C732B4"/>
    <w:rsid w:val="00C73F80"/>
    <w:rsid w:val="00C742BE"/>
    <w:rsid w:val="00C74642"/>
    <w:rsid w:val="00C75121"/>
    <w:rsid w:val="00C756FF"/>
    <w:rsid w:val="00C7605F"/>
    <w:rsid w:val="00C761F3"/>
    <w:rsid w:val="00C76812"/>
    <w:rsid w:val="00C768EB"/>
    <w:rsid w:val="00C76931"/>
    <w:rsid w:val="00C76D56"/>
    <w:rsid w:val="00C77396"/>
    <w:rsid w:val="00C778A5"/>
    <w:rsid w:val="00C77EFD"/>
    <w:rsid w:val="00C809BC"/>
    <w:rsid w:val="00C80A59"/>
    <w:rsid w:val="00C80F1B"/>
    <w:rsid w:val="00C810F8"/>
    <w:rsid w:val="00C813C8"/>
    <w:rsid w:val="00C82693"/>
    <w:rsid w:val="00C82E0E"/>
    <w:rsid w:val="00C837C9"/>
    <w:rsid w:val="00C8528E"/>
    <w:rsid w:val="00C85D04"/>
    <w:rsid w:val="00C85DCC"/>
    <w:rsid w:val="00C85EAD"/>
    <w:rsid w:val="00C8658A"/>
    <w:rsid w:val="00C86943"/>
    <w:rsid w:val="00C86E69"/>
    <w:rsid w:val="00C87715"/>
    <w:rsid w:val="00C8789E"/>
    <w:rsid w:val="00C87DC1"/>
    <w:rsid w:val="00C87F29"/>
    <w:rsid w:val="00C91484"/>
    <w:rsid w:val="00C91DCD"/>
    <w:rsid w:val="00C92593"/>
    <w:rsid w:val="00C92D52"/>
    <w:rsid w:val="00C92FD2"/>
    <w:rsid w:val="00C93C29"/>
    <w:rsid w:val="00C950AA"/>
    <w:rsid w:val="00C955C6"/>
    <w:rsid w:val="00C97BB6"/>
    <w:rsid w:val="00C97BDD"/>
    <w:rsid w:val="00CA0379"/>
    <w:rsid w:val="00CA22F1"/>
    <w:rsid w:val="00CA2782"/>
    <w:rsid w:val="00CA347D"/>
    <w:rsid w:val="00CA36D6"/>
    <w:rsid w:val="00CA36E7"/>
    <w:rsid w:val="00CA3ABB"/>
    <w:rsid w:val="00CA3CAA"/>
    <w:rsid w:val="00CA3D6E"/>
    <w:rsid w:val="00CA41AC"/>
    <w:rsid w:val="00CA4407"/>
    <w:rsid w:val="00CA4D06"/>
    <w:rsid w:val="00CA5237"/>
    <w:rsid w:val="00CA55FA"/>
    <w:rsid w:val="00CA5AB2"/>
    <w:rsid w:val="00CA600A"/>
    <w:rsid w:val="00CA6622"/>
    <w:rsid w:val="00CA702D"/>
    <w:rsid w:val="00CA7BCA"/>
    <w:rsid w:val="00CB03AC"/>
    <w:rsid w:val="00CB1AA9"/>
    <w:rsid w:val="00CB203D"/>
    <w:rsid w:val="00CB20C7"/>
    <w:rsid w:val="00CB235C"/>
    <w:rsid w:val="00CB2412"/>
    <w:rsid w:val="00CB2585"/>
    <w:rsid w:val="00CB28E3"/>
    <w:rsid w:val="00CB2B5F"/>
    <w:rsid w:val="00CB4538"/>
    <w:rsid w:val="00CB4EE8"/>
    <w:rsid w:val="00CB579B"/>
    <w:rsid w:val="00CB65E1"/>
    <w:rsid w:val="00CB70F0"/>
    <w:rsid w:val="00CB7858"/>
    <w:rsid w:val="00CB7F08"/>
    <w:rsid w:val="00CB7F9D"/>
    <w:rsid w:val="00CC000F"/>
    <w:rsid w:val="00CC048D"/>
    <w:rsid w:val="00CC0D1B"/>
    <w:rsid w:val="00CC1280"/>
    <w:rsid w:val="00CC2ED5"/>
    <w:rsid w:val="00CC4E77"/>
    <w:rsid w:val="00CC6ADD"/>
    <w:rsid w:val="00CC6C0A"/>
    <w:rsid w:val="00CC6E7D"/>
    <w:rsid w:val="00CD0BE4"/>
    <w:rsid w:val="00CD0C63"/>
    <w:rsid w:val="00CD0F33"/>
    <w:rsid w:val="00CD1562"/>
    <w:rsid w:val="00CD1B7F"/>
    <w:rsid w:val="00CD203D"/>
    <w:rsid w:val="00CD4A08"/>
    <w:rsid w:val="00CD5520"/>
    <w:rsid w:val="00CD58F7"/>
    <w:rsid w:val="00CD6164"/>
    <w:rsid w:val="00CD6AC5"/>
    <w:rsid w:val="00CD78A2"/>
    <w:rsid w:val="00CD7E7B"/>
    <w:rsid w:val="00CE08F2"/>
    <w:rsid w:val="00CE11C0"/>
    <w:rsid w:val="00CE1694"/>
    <w:rsid w:val="00CE195E"/>
    <w:rsid w:val="00CE1FCE"/>
    <w:rsid w:val="00CE2055"/>
    <w:rsid w:val="00CE270F"/>
    <w:rsid w:val="00CE2F01"/>
    <w:rsid w:val="00CE321A"/>
    <w:rsid w:val="00CE36F0"/>
    <w:rsid w:val="00CE3C47"/>
    <w:rsid w:val="00CE4369"/>
    <w:rsid w:val="00CE5C08"/>
    <w:rsid w:val="00CE5DB4"/>
    <w:rsid w:val="00CE5F6A"/>
    <w:rsid w:val="00CE5F80"/>
    <w:rsid w:val="00CE71C8"/>
    <w:rsid w:val="00CE7FB2"/>
    <w:rsid w:val="00CF0064"/>
    <w:rsid w:val="00CF01FC"/>
    <w:rsid w:val="00CF0A46"/>
    <w:rsid w:val="00CF0EC2"/>
    <w:rsid w:val="00CF1573"/>
    <w:rsid w:val="00CF1DB2"/>
    <w:rsid w:val="00CF20A8"/>
    <w:rsid w:val="00CF2B0C"/>
    <w:rsid w:val="00CF2B89"/>
    <w:rsid w:val="00CF3D3D"/>
    <w:rsid w:val="00CF583D"/>
    <w:rsid w:val="00CF5A4B"/>
    <w:rsid w:val="00CF5BB1"/>
    <w:rsid w:val="00CF6C1B"/>
    <w:rsid w:val="00CF6F2B"/>
    <w:rsid w:val="00CF7171"/>
    <w:rsid w:val="00CF71B7"/>
    <w:rsid w:val="00CF7D01"/>
    <w:rsid w:val="00CF7FD3"/>
    <w:rsid w:val="00D0062F"/>
    <w:rsid w:val="00D00729"/>
    <w:rsid w:val="00D00919"/>
    <w:rsid w:val="00D00C06"/>
    <w:rsid w:val="00D00EA8"/>
    <w:rsid w:val="00D013C2"/>
    <w:rsid w:val="00D016AD"/>
    <w:rsid w:val="00D02229"/>
    <w:rsid w:val="00D0380A"/>
    <w:rsid w:val="00D04CBB"/>
    <w:rsid w:val="00D0687E"/>
    <w:rsid w:val="00D06BF8"/>
    <w:rsid w:val="00D07AA3"/>
    <w:rsid w:val="00D1008C"/>
    <w:rsid w:val="00D104D3"/>
    <w:rsid w:val="00D10938"/>
    <w:rsid w:val="00D12183"/>
    <w:rsid w:val="00D12A5D"/>
    <w:rsid w:val="00D12C59"/>
    <w:rsid w:val="00D1380A"/>
    <w:rsid w:val="00D155D8"/>
    <w:rsid w:val="00D159F2"/>
    <w:rsid w:val="00D16A27"/>
    <w:rsid w:val="00D17CA8"/>
    <w:rsid w:val="00D20349"/>
    <w:rsid w:val="00D214C7"/>
    <w:rsid w:val="00D21506"/>
    <w:rsid w:val="00D21993"/>
    <w:rsid w:val="00D21B51"/>
    <w:rsid w:val="00D22F7E"/>
    <w:rsid w:val="00D232EA"/>
    <w:rsid w:val="00D23535"/>
    <w:rsid w:val="00D23823"/>
    <w:rsid w:val="00D23DAE"/>
    <w:rsid w:val="00D250B3"/>
    <w:rsid w:val="00D257D8"/>
    <w:rsid w:val="00D25F0D"/>
    <w:rsid w:val="00D26379"/>
    <w:rsid w:val="00D2741A"/>
    <w:rsid w:val="00D30323"/>
    <w:rsid w:val="00D30C98"/>
    <w:rsid w:val="00D314C8"/>
    <w:rsid w:val="00D32028"/>
    <w:rsid w:val="00D32297"/>
    <w:rsid w:val="00D33BBC"/>
    <w:rsid w:val="00D33CD6"/>
    <w:rsid w:val="00D34C55"/>
    <w:rsid w:val="00D37894"/>
    <w:rsid w:val="00D37D10"/>
    <w:rsid w:val="00D40BE4"/>
    <w:rsid w:val="00D41416"/>
    <w:rsid w:val="00D42AEF"/>
    <w:rsid w:val="00D42B8B"/>
    <w:rsid w:val="00D42B94"/>
    <w:rsid w:val="00D42BDB"/>
    <w:rsid w:val="00D42CEA"/>
    <w:rsid w:val="00D42FB0"/>
    <w:rsid w:val="00D43317"/>
    <w:rsid w:val="00D44164"/>
    <w:rsid w:val="00D44227"/>
    <w:rsid w:val="00D446A9"/>
    <w:rsid w:val="00D44A97"/>
    <w:rsid w:val="00D44B3D"/>
    <w:rsid w:val="00D44D59"/>
    <w:rsid w:val="00D44F8C"/>
    <w:rsid w:val="00D45406"/>
    <w:rsid w:val="00D45764"/>
    <w:rsid w:val="00D45AB4"/>
    <w:rsid w:val="00D45C81"/>
    <w:rsid w:val="00D45F9E"/>
    <w:rsid w:val="00D46323"/>
    <w:rsid w:val="00D469E2"/>
    <w:rsid w:val="00D47F9A"/>
    <w:rsid w:val="00D50202"/>
    <w:rsid w:val="00D505C8"/>
    <w:rsid w:val="00D5083A"/>
    <w:rsid w:val="00D50C62"/>
    <w:rsid w:val="00D510DB"/>
    <w:rsid w:val="00D515F8"/>
    <w:rsid w:val="00D51E47"/>
    <w:rsid w:val="00D52333"/>
    <w:rsid w:val="00D525C5"/>
    <w:rsid w:val="00D5361C"/>
    <w:rsid w:val="00D548B7"/>
    <w:rsid w:val="00D54FE2"/>
    <w:rsid w:val="00D55168"/>
    <w:rsid w:val="00D563AF"/>
    <w:rsid w:val="00D56B29"/>
    <w:rsid w:val="00D570E7"/>
    <w:rsid w:val="00D571B4"/>
    <w:rsid w:val="00D574A5"/>
    <w:rsid w:val="00D57740"/>
    <w:rsid w:val="00D600E9"/>
    <w:rsid w:val="00D603DE"/>
    <w:rsid w:val="00D611A5"/>
    <w:rsid w:val="00D62173"/>
    <w:rsid w:val="00D63066"/>
    <w:rsid w:val="00D63C4B"/>
    <w:rsid w:val="00D642DF"/>
    <w:rsid w:val="00D652D9"/>
    <w:rsid w:val="00D66726"/>
    <w:rsid w:val="00D66FBA"/>
    <w:rsid w:val="00D67762"/>
    <w:rsid w:val="00D67D65"/>
    <w:rsid w:val="00D70327"/>
    <w:rsid w:val="00D707B0"/>
    <w:rsid w:val="00D70C1A"/>
    <w:rsid w:val="00D71DFE"/>
    <w:rsid w:val="00D71ED0"/>
    <w:rsid w:val="00D7245A"/>
    <w:rsid w:val="00D7268C"/>
    <w:rsid w:val="00D729B9"/>
    <w:rsid w:val="00D73013"/>
    <w:rsid w:val="00D73B74"/>
    <w:rsid w:val="00D740FF"/>
    <w:rsid w:val="00D74AC0"/>
    <w:rsid w:val="00D74B5C"/>
    <w:rsid w:val="00D74BEC"/>
    <w:rsid w:val="00D75C34"/>
    <w:rsid w:val="00D75D7C"/>
    <w:rsid w:val="00D7658A"/>
    <w:rsid w:val="00D76F78"/>
    <w:rsid w:val="00D76F92"/>
    <w:rsid w:val="00D77892"/>
    <w:rsid w:val="00D77AC6"/>
    <w:rsid w:val="00D803A3"/>
    <w:rsid w:val="00D80C54"/>
    <w:rsid w:val="00D80CAE"/>
    <w:rsid w:val="00D81B4F"/>
    <w:rsid w:val="00D81CB3"/>
    <w:rsid w:val="00D82935"/>
    <w:rsid w:val="00D83700"/>
    <w:rsid w:val="00D83F06"/>
    <w:rsid w:val="00D84761"/>
    <w:rsid w:val="00D84AF5"/>
    <w:rsid w:val="00D85890"/>
    <w:rsid w:val="00D86466"/>
    <w:rsid w:val="00D867C3"/>
    <w:rsid w:val="00D918EA"/>
    <w:rsid w:val="00D91FAB"/>
    <w:rsid w:val="00D92472"/>
    <w:rsid w:val="00D926F1"/>
    <w:rsid w:val="00D92E45"/>
    <w:rsid w:val="00D93089"/>
    <w:rsid w:val="00D94CAF"/>
    <w:rsid w:val="00D94D41"/>
    <w:rsid w:val="00D95360"/>
    <w:rsid w:val="00D96A87"/>
    <w:rsid w:val="00D97106"/>
    <w:rsid w:val="00D97682"/>
    <w:rsid w:val="00D97726"/>
    <w:rsid w:val="00D97DE3"/>
    <w:rsid w:val="00D97E9D"/>
    <w:rsid w:val="00D97EA1"/>
    <w:rsid w:val="00DA1F8E"/>
    <w:rsid w:val="00DA27F8"/>
    <w:rsid w:val="00DA2843"/>
    <w:rsid w:val="00DA3415"/>
    <w:rsid w:val="00DA3560"/>
    <w:rsid w:val="00DA4016"/>
    <w:rsid w:val="00DA644A"/>
    <w:rsid w:val="00DA69DA"/>
    <w:rsid w:val="00DA7DE1"/>
    <w:rsid w:val="00DA7EC3"/>
    <w:rsid w:val="00DB117D"/>
    <w:rsid w:val="00DB12AF"/>
    <w:rsid w:val="00DB3C6A"/>
    <w:rsid w:val="00DB3DC0"/>
    <w:rsid w:val="00DB4157"/>
    <w:rsid w:val="00DB4D14"/>
    <w:rsid w:val="00DB5166"/>
    <w:rsid w:val="00DB57FA"/>
    <w:rsid w:val="00DB5A6A"/>
    <w:rsid w:val="00DB6028"/>
    <w:rsid w:val="00DB6A7A"/>
    <w:rsid w:val="00DB7987"/>
    <w:rsid w:val="00DB79B7"/>
    <w:rsid w:val="00DB7C36"/>
    <w:rsid w:val="00DB7E51"/>
    <w:rsid w:val="00DC00EE"/>
    <w:rsid w:val="00DC03B3"/>
    <w:rsid w:val="00DC0763"/>
    <w:rsid w:val="00DC30E3"/>
    <w:rsid w:val="00DC3593"/>
    <w:rsid w:val="00DC3DEC"/>
    <w:rsid w:val="00DC40F8"/>
    <w:rsid w:val="00DC4684"/>
    <w:rsid w:val="00DC481D"/>
    <w:rsid w:val="00DC4CC2"/>
    <w:rsid w:val="00DC568F"/>
    <w:rsid w:val="00DC5D25"/>
    <w:rsid w:val="00DC5EE0"/>
    <w:rsid w:val="00DC6356"/>
    <w:rsid w:val="00DC63F6"/>
    <w:rsid w:val="00DC657B"/>
    <w:rsid w:val="00DC663F"/>
    <w:rsid w:val="00DC6FA7"/>
    <w:rsid w:val="00DC799A"/>
    <w:rsid w:val="00DD0F93"/>
    <w:rsid w:val="00DD1659"/>
    <w:rsid w:val="00DD1A50"/>
    <w:rsid w:val="00DD2161"/>
    <w:rsid w:val="00DD22D0"/>
    <w:rsid w:val="00DD2503"/>
    <w:rsid w:val="00DD26C1"/>
    <w:rsid w:val="00DD2DDA"/>
    <w:rsid w:val="00DD2EA3"/>
    <w:rsid w:val="00DD41BF"/>
    <w:rsid w:val="00DD5576"/>
    <w:rsid w:val="00DD62F1"/>
    <w:rsid w:val="00DD6443"/>
    <w:rsid w:val="00DD6EF5"/>
    <w:rsid w:val="00DD7731"/>
    <w:rsid w:val="00DD77A5"/>
    <w:rsid w:val="00DD7F48"/>
    <w:rsid w:val="00DE01C5"/>
    <w:rsid w:val="00DE0243"/>
    <w:rsid w:val="00DE03D8"/>
    <w:rsid w:val="00DE0C86"/>
    <w:rsid w:val="00DE0DD2"/>
    <w:rsid w:val="00DE1A41"/>
    <w:rsid w:val="00DE2103"/>
    <w:rsid w:val="00DE27CE"/>
    <w:rsid w:val="00DE374C"/>
    <w:rsid w:val="00DE37B9"/>
    <w:rsid w:val="00DE3A78"/>
    <w:rsid w:val="00DE3C90"/>
    <w:rsid w:val="00DE3CF7"/>
    <w:rsid w:val="00DE4805"/>
    <w:rsid w:val="00DE4FEA"/>
    <w:rsid w:val="00DE597C"/>
    <w:rsid w:val="00DE5FB6"/>
    <w:rsid w:val="00DE6220"/>
    <w:rsid w:val="00DE650E"/>
    <w:rsid w:val="00DE6C9B"/>
    <w:rsid w:val="00DE7A98"/>
    <w:rsid w:val="00DF06C8"/>
    <w:rsid w:val="00DF06D4"/>
    <w:rsid w:val="00DF0FEC"/>
    <w:rsid w:val="00DF106A"/>
    <w:rsid w:val="00DF11A9"/>
    <w:rsid w:val="00DF1685"/>
    <w:rsid w:val="00DF1AF3"/>
    <w:rsid w:val="00DF2130"/>
    <w:rsid w:val="00DF22EE"/>
    <w:rsid w:val="00DF3B9A"/>
    <w:rsid w:val="00DF4396"/>
    <w:rsid w:val="00DF4D8B"/>
    <w:rsid w:val="00DF61E6"/>
    <w:rsid w:val="00DF711B"/>
    <w:rsid w:val="00DF7489"/>
    <w:rsid w:val="00DF7C6E"/>
    <w:rsid w:val="00E0028B"/>
    <w:rsid w:val="00E00BC4"/>
    <w:rsid w:val="00E00DE3"/>
    <w:rsid w:val="00E01141"/>
    <w:rsid w:val="00E018E1"/>
    <w:rsid w:val="00E0326E"/>
    <w:rsid w:val="00E0390A"/>
    <w:rsid w:val="00E039ED"/>
    <w:rsid w:val="00E03C2F"/>
    <w:rsid w:val="00E03D7C"/>
    <w:rsid w:val="00E04599"/>
    <w:rsid w:val="00E04A67"/>
    <w:rsid w:val="00E04C09"/>
    <w:rsid w:val="00E070B0"/>
    <w:rsid w:val="00E10968"/>
    <w:rsid w:val="00E10B81"/>
    <w:rsid w:val="00E10D15"/>
    <w:rsid w:val="00E11F32"/>
    <w:rsid w:val="00E12755"/>
    <w:rsid w:val="00E13237"/>
    <w:rsid w:val="00E13755"/>
    <w:rsid w:val="00E13C97"/>
    <w:rsid w:val="00E14070"/>
    <w:rsid w:val="00E14480"/>
    <w:rsid w:val="00E15440"/>
    <w:rsid w:val="00E158E8"/>
    <w:rsid w:val="00E15B6A"/>
    <w:rsid w:val="00E164FA"/>
    <w:rsid w:val="00E16738"/>
    <w:rsid w:val="00E168EA"/>
    <w:rsid w:val="00E16E6B"/>
    <w:rsid w:val="00E177D1"/>
    <w:rsid w:val="00E2089B"/>
    <w:rsid w:val="00E20A7E"/>
    <w:rsid w:val="00E214B7"/>
    <w:rsid w:val="00E21764"/>
    <w:rsid w:val="00E21CD7"/>
    <w:rsid w:val="00E22189"/>
    <w:rsid w:val="00E228DD"/>
    <w:rsid w:val="00E24227"/>
    <w:rsid w:val="00E254F2"/>
    <w:rsid w:val="00E256F8"/>
    <w:rsid w:val="00E25E8E"/>
    <w:rsid w:val="00E264C4"/>
    <w:rsid w:val="00E27C82"/>
    <w:rsid w:val="00E27FE8"/>
    <w:rsid w:val="00E30DBF"/>
    <w:rsid w:val="00E30E66"/>
    <w:rsid w:val="00E317F3"/>
    <w:rsid w:val="00E32A35"/>
    <w:rsid w:val="00E32ADC"/>
    <w:rsid w:val="00E32CF8"/>
    <w:rsid w:val="00E332BB"/>
    <w:rsid w:val="00E339B9"/>
    <w:rsid w:val="00E35B1A"/>
    <w:rsid w:val="00E35E96"/>
    <w:rsid w:val="00E35FA2"/>
    <w:rsid w:val="00E3648B"/>
    <w:rsid w:val="00E3697B"/>
    <w:rsid w:val="00E3700F"/>
    <w:rsid w:val="00E40653"/>
    <w:rsid w:val="00E40CD2"/>
    <w:rsid w:val="00E40EBB"/>
    <w:rsid w:val="00E40FBA"/>
    <w:rsid w:val="00E4186E"/>
    <w:rsid w:val="00E41B2B"/>
    <w:rsid w:val="00E43086"/>
    <w:rsid w:val="00E430A3"/>
    <w:rsid w:val="00E44A0B"/>
    <w:rsid w:val="00E45CFA"/>
    <w:rsid w:val="00E465C4"/>
    <w:rsid w:val="00E4672C"/>
    <w:rsid w:val="00E467BD"/>
    <w:rsid w:val="00E479AD"/>
    <w:rsid w:val="00E51A91"/>
    <w:rsid w:val="00E51EC2"/>
    <w:rsid w:val="00E534AF"/>
    <w:rsid w:val="00E53F92"/>
    <w:rsid w:val="00E543F5"/>
    <w:rsid w:val="00E5447C"/>
    <w:rsid w:val="00E547EB"/>
    <w:rsid w:val="00E54DB9"/>
    <w:rsid w:val="00E553F8"/>
    <w:rsid w:val="00E55ABD"/>
    <w:rsid w:val="00E564A2"/>
    <w:rsid w:val="00E57124"/>
    <w:rsid w:val="00E60CE5"/>
    <w:rsid w:val="00E60EE6"/>
    <w:rsid w:val="00E60FE2"/>
    <w:rsid w:val="00E6156C"/>
    <w:rsid w:val="00E61967"/>
    <w:rsid w:val="00E61A3D"/>
    <w:rsid w:val="00E61ACF"/>
    <w:rsid w:val="00E61F78"/>
    <w:rsid w:val="00E63147"/>
    <w:rsid w:val="00E63AB6"/>
    <w:rsid w:val="00E64261"/>
    <w:rsid w:val="00E6456E"/>
    <w:rsid w:val="00E651A7"/>
    <w:rsid w:val="00E655A4"/>
    <w:rsid w:val="00E65F71"/>
    <w:rsid w:val="00E66148"/>
    <w:rsid w:val="00E662ED"/>
    <w:rsid w:val="00E664CE"/>
    <w:rsid w:val="00E66B08"/>
    <w:rsid w:val="00E67FFD"/>
    <w:rsid w:val="00E7059B"/>
    <w:rsid w:val="00E705AA"/>
    <w:rsid w:val="00E70766"/>
    <w:rsid w:val="00E71027"/>
    <w:rsid w:val="00E71BB7"/>
    <w:rsid w:val="00E723CC"/>
    <w:rsid w:val="00E72898"/>
    <w:rsid w:val="00E7310B"/>
    <w:rsid w:val="00E74D8D"/>
    <w:rsid w:val="00E7507E"/>
    <w:rsid w:val="00E75189"/>
    <w:rsid w:val="00E76CCE"/>
    <w:rsid w:val="00E76D61"/>
    <w:rsid w:val="00E77677"/>
    <w:rsid w:val="00E77EAC"/>
    <w:rsid w:val="00E800AB"/>
    <w:rsid w:val="00E8033E"/>
    <w:rsid w:val="00E805DF"/>
    <w:rsid w:val="00E806F8"/>
    <w:rsid w:val="00E80C4B"/>
    <w:rsid w:val="00E80D18"/>
    <w:rsid w:val="00E8150E"/>
    <w:rsid w:val="00E82820"/>
    <w:rsid w:val="00E82BFD"/>
    <w:rsid w:val="00E83F53"/>
    <w:rsid w:val="00E842A7"/>
    <w:rsid w:val="00E84D85"/>
    <w:rsid w:val="00E85903"/>
    <w:rsid w:val="00E8702A"/>
    <w:rsid w:val="00E871A9"/>
    <w:rsid w:val="00E87528"/>
    <w:rsid w:val="00E90FB3"/>
    <w:rsid w:val="00E9119E"/>
    <w:rsid w:val="00E91FCF"/>
    <w:rsid w:val="00E92089"/>
    <w:rsid w:val="00E920BE"/>
    <w:rsid w:val="00E923F4"/>
    <w:rsid w:val="00E93011"/>
    <w:rsid w:val="00E935DD"/>
    <w:rsid w:val="00E93965"/>
    <w:rsid w:val="00E94142"/>
    <w:rsid w:val="00E94904"/>
    <w:rsid w:val="00E94B90"/>
    <w:rsid w:val="00E95D2B"/>
    <w:rsid w:val="00E97185"/>
    <w:rsid w:val="00E978D0"/>
    <w:rsid w:val="00E97AD3"/>
    <w:rsid w:val="00EA065F"/>
    <w:rsid w:val="00EA0DBC"/>
    <w:rsid w:val="00EA1117"/>
    <w:rsid w:val="00EA1D17"/>
    <w:rsid w:val="00EA34AF"/>
    <w:rsid w:val="00EA49FA"/>
    <w:rsid w:val="00EA5332"/>
    <w:rsid w:val="00EA54A1"/>
    <w:rsid w:val="00EA5CDF"/>
    <w:rsid w:val="00EA60D7"/>
    <w:rsid w:val="00EA62FB"/>
    <w:rsid w:val="00EA636B"/>
    <w:rsid w:val="00EA6C66"/>
    <w:rsid w:val="00EA7173"/>
    <w:rsid w:val="00EA7523"/>
    <w:rsid w:val="00EA7C3C"/>
    <w:rsid w:val="00EB0399"/>
    <w:rsid w:val="00EB15C4"/>
    <w:rsid w:val="00EB1F77"/>
    <w:rsid w:val="00EB2226"/>
    <w:rsid w:val="00EB2531"/>
    <w:rsid w:val="00EB27B7"/>
    <w:rsid w:val="00EB2C64"/>
    <w:rsid w:val="00EB31A9"/>
    <w:rsid w:val="00EB3495"/>
    <w:rsid w:val="00EB37FC"/>
    <w:rsid w:val="00EB396F"/>
    <w:rsid w:val="00EB46CE"/>
    <w:rsid w:val="00EB4B6D"/>
    <w:rsid w:val="00EB50E4"/>
    <w:rsid w:val="00EB52D0"/>
    <w:rsid w:val="00EB546F"/>
    <w:rsid w:val="00EB6DDA"/>
    <w:rsid w:val="00EB6F45"/>
    <w:rsid w:val="00EC162E"/>
    <w:rsid w:val="00EC1D40"/>
    <w:rsid w:val="00EC2444"/>
    <w:rsid w:val="00EC2B47"/>
    <w:rsid w:val="00EC33C8"/>
    <w:rsid w:val="00EC3914"/>
    <w:rsid w:val="00EC3B68"/>
    <w:rsid w:val="00EC3E8C"/>
    <w:rsid w:val="00EC462C"/>
    <w:rsid w:val="00EC48F6"/>
    <w:rsid w:val="00EC56A3"/>
    <w:rsid w:val="00EC5984"/>
    <w:rsid w:val="00EC5DFA"/>
    <w:rsid w:val="00EC608F"/>
    <w:rsid w:val="00EC652E"/>
    <w:rsid w:val="00EC694C"/>
    <w:rsid w:val="00EC76CE"/>
    <w:rsid w:val="00EC794B"/>
    <w:rsid w:val="00EC7A61"/>
    <w:rsid w:val="00ED043E"/>
    <w:rsid w:val="00ED0529"/>
    <w:rsid w:val="00ED10F6"/>
    <w:rsid w:val="00ED1CD3"/>
    <w:rsid w:val="00ED2ACB"/>
    <w:rsid w:val="00ED2DD2"/>
    <w:rsid w:val="00ED2EA9"/>
    <w:rsid w:val="00ED2F92"/>
    <w:rsid w:val="00ED3A76"/>
    <w:rsid w:val="00ED3EE2"/>
    <w:rsid w:val="00ED4623"/>
    <w:rsid w:val="00ED522D"/>
    <w:rsid w:val="00ED58F5"/>
    <w:rsid w:val="00ED6225"/>
    <w:rsid w:val="00ED6A0C"/>
    <w:rsid w:val="00ED6C78"/>
    <w:rsid w:val="00ED7763"/>
    <w:rsid w:val="00EE05DA"/>
    <w:rsid w:val="00EE0A5D"/>
    <w:rsid w:val="00EE0B78"/>
    <w:rsid w:val="00EE0EE6"/>
    <w:rsid w:val="00EE114B"/>
    <w:rsid w:val="00EE234B"/>
    <w:rsid w:val="00EE2C16"/>
    <w:rsid w:val="00EE322E"/>
    <w:rsid w:val="00EE3C66"/>
    <w:rsid w:val="00EE4508"/>
    <w:rsid w:val="00EE4653"/>
    <w:rsid w:val="00EE4A40"/>
    <w:rsid w:val="00EE4B6B"/>
    <w:rsid w:val="00EE4E4E"/>
    <w:rsid w:val="00EE59A8"/>
    <w:rsid w:val="00EE59BD"/>
    <w:rsid w:val="00EE5FC9"/>
    <w:rsid w:val="00EE6260"/>
    <w:rsid w:val="00EE6F0E"/>
    <w:rsid w:val="00EE71B1"/>
    <w:rsid w:val="00EE72DF"/>
    <w:rsid w:val="00EE789E"/>
    <w:rsid w:val="00EE7B54"/>
    <w:rsid w:val="00EF02C2"/>
    <w:rsid w:val="00EF1309"/>
    <w:rsid w:val="00EF14C6"/>
    <w:rsid w:val="00EF1954"/>
    <w:rsid w:val="00EF20C0"/>
    <w:rsid w:val="00EF23A0"/>
    <w:rsid w:val="00EF28BD"/>
    <w:rsid w:val="00EF4CFF"/>
    <w:rsid w:val="00EF5283"/>
    <w:rsid w:val="00EF557F"/>
    <w:rsid w:val="00EF57E2"/>
    <w:rsid w:val="00EF59F5"/>
    <w:rsid w:val="00EF5A8A"/>
    <w:rsid w:val="00F0084D"/>
    <w:rsid w:val="00F017E7"/>
    <w:rsid w:val="00F025AC"/>
    <w:rsid w:val="00F02FF5"/>
    <w:rsid w:val="00F0334D"/>
    <w:rsid w:val="00F0345E"/>
    <w:rsid w:val="00F053B7"/>
    <w:rsid w:val="00F05EFD"/>
    <w:rsid w:val="00F060B5"/>
    <w:rsid w:val="00F06265"/>
    <w:rsid w:val="00F0668D"/>
    <w:rsid w:val="00F076D4"/>
    <w:rsid w:val="00F10C8A"/>
    <w:rsid w:val="00F10CC4"/>
    <w:rsid w:val="00F10CCD"/>
    <w:rsid w:val="00F11450"/>
    <w:rsid w:val="00F117F3"/>
    <w:rsid w:val="00F1186C"/>
    <w:rsid w:val="00F122A1"/>
    <w:rsid w:val="00F12E55"/>
    <w:rsid w:val="00F13385"/>
    <w:rsid w:val="00F13DBC"/>
    <w:rsid w:val="00F14DC5"/>
    <w:rsid w:val="00F15359"/>
    <w:rsid w:val="00F1582E"/>
    <w:rsid w:val="00F16422"/>
    <w:rsid w:val="00F16702"/>
    <w:rsid w:val="00F16A6C"/>
    <w:rsid w:val="00F1767F"/>
    <w:rsid w:val="00F20A6E"/>
    <w:rsid w:val="00F20B9E"/>
    <w:rsid w:val="00F20F04"/>
    <w:rsid w:val="00F22842"/>
    <w:rsid w:val="00F2284E"/>
    <w:rsid w:val="00F22B88"/>
    <w:rsid w:val="00F22E38"/>
    <w:rsid w:val="00F22EC1"/>
    <w:rsid w:val="00F23B12"/>
    <w:rsid w:val="00F23FB7"/>
    <w:rsid w:val="00F24004"/>
    <w:rsid w:val="00F24AF4"/>
    <w:rsid w:val="00F255C3"/>
    <w:rsid w:val="00F25D11"/>
    <w:rsid w:val="00F26D13"/>
    <w:rsid w:val="00F26DA1"/>
    <w:rsid w:val="00F26E70"/>
    <w:rsid w:val="00F27C78"/>
    <w:rsid w:val="00F3024E"/>
    <w:rsid w:val="00F3249C"/>
    <w:rsid w:val="00F324DC"/>
    <w:rsid w:val="00F32774"/>
    <w:rsid w:val="00F32A12"/>
    <w:rsid w:val="00F32D7E"/>
    <w:rsid w:val="00F33265"/>
    <w:rsid w:val="00F3333F"/>
    <w:rsid w:val="00F333F2"/>
    <w:rsid w:val="00F35C48"/>
    <w:rsid w:val="00F35C8D"/>
    <w:rsid w:val="00F35F82"/>
    <w:rsid w:val="00F36751"/>
    <w:rsid w:val="00F37088"/>
    <w:rsid w:val="00F407EE"/>
    <w:rsid w:val="00F40DDB"/>
    <w:rsid w:val="00F41C12"/>
    <w:rsid w:val="00F42824"/>
    <w:rsid w:val="00F42A17"/>
    <w:rsid w:val="00F434C7"/>
    <w:rsid w:val="00F44024"/>
    <w:rsid w:val="00F44B41"/>
    <w:rsid w:val="00F45CA2"/>
    <w:rsid w:val="00F45EA7"/>
    <w:rsid w:val="00F46DD0"/>
    <w:rsid w:val="00F474DC"/>
    <w:rsid w:val="00F47C84"/>
    <w:rsid w:val="00F50105"/>
    <w:rsid w:val="00F507A8"/>
    <w:rsid w:val="00F5118A"/>
    <w:rsid w:val="00F5273B"/>
    <w:rsid w:val="00F5297E"/>
    <w:rsid w:val="00F53B21"/>
    <w:rsid w:val="00F53C1B"/>
    <w:rsid w:val="00F543B3"/>
    <w:rsid w:val="00F54732"/>
    <w:rsid w:val="00F5490E"/>
    <w:rsid w:val="00F55533"/>
    <w:rsid w:val="00F5563B"/>
    <w:rsid w:val="00F5670B"/>
    <w:rsid w:val="00F57044"/>
    <w:rsid w:val="00F5778B"/>
    <w:rsid w:val="00F57CA8"/>
    <w:rsid w:val="00F6066D"/>
    <w:rsid w:val="00F61A49"/>
    <w:rsid w:val="00F6204D"/>
    <w:rsid w:val="00F62186"/>
    <w:rsid w:val="00F62925"/>
    <w:rsid w:val="00F62C14"/>
    <w:rsid w:val="00F63416"/>
    <w:rsid w:val="00F637B7"/>
    <w:rsid w:val="00F64BB0"/>
    <w:rsid w:val="00F65007"/>
    <w:rsid w:val="00F65CBB"/>
    <w:rsid w:val="00F666DD"/>
    <w:rsid w:val="00F6671D"/>
    <w:rsid w:val="00F669D4"/>
    <w:rsid w:val="00F66BF3"/>
    <w:rsid w:val="00F701A7"/>
    <w:rsid w:val="00F705A5"/>
    <w:rsid w:val="00F70659"/>
    <w:rsid w:val="00F7143D"/>
    <w:rsid w:val="00F726A9"/>
    <w:rsid w:val="00F726F4"/>
    <w:rsid w:val="00F72C20"/>
    <w:rsid w:val="00F72CBF"/>
    <w:rsid w:val="00F732D6"/>
    <w:rsid w:val="00F74E05"/>
    <w:rsid w:val="00F753E3"/>
    <w:rsid w:val="00F75E65"/>
    <w:rsid w:val="00F7616A"/>
    <w:rsid w:val="00F763B1"/>
    <w:rsid w:val="00F7693B"/>
    <w:rsid w:val="00F77B38"/>
    <w:rsid w:val="00F800A2"/>
    <w:rsid w:val="00F813AD"/>
    <w:rsid w:val="00F81F30"/>
    <w:rsid w:val="00F824DB"/>
    <w:rsid w:val="00F8294C"/>
    <w:rsid w:val="00F82A12"/>
    <w:rsid w:val="00F8322B"/>
    <w:rsid w:val="00F84792"/>
    <w:rsid w:val="00F85381"/>
    <w:rsid w:val="00F85752"/>
    <w:rsid w:val="00F864EB"/>
    <w:rsid w:val="00F86706"/>
    <w:rsid w:val="00F8730B"/>
    <w:rsid w:val="00F87407"/>
    <w:rsid w:val="00F87C1F"/>
    <w:rsid w:val="00F87CF2"/>
    <w:rsid w:val="00F90877"/>
    <w:rsid w:val="00F90B55"/>
    <w:rsid w:val="00F90BE4"/>
    <w:rsid w:val="00F90D96"/>
    <w:rsid w:val="00F91441"/>
    <w:rsid w:val="00F9168D"/>
    <w:rsid w:val="00F91A59"/>
    <w:rsid w:val="00F9307A"/>
    <w:rsid w:val="00F931C5"/>
    <w:rsid w:val="00F9338A"/>
    <w:rsid w:val="00F93724"/>
    <w:rsid w:val="00F93B13"/>
    <w:rsid w:val="00F93B76"/>
    <w:rsid w:val="00F94568"/>
    <w:rsid w:val="00F94C35"/>
    <w:rsid w:val="00F9523A"/>
    <w:rsid w:val="00F96A76"/>
    <w:rsid w:val="00F97018"/>
    <w:rsid w:val="00F971AB"/>
    <w:rsid w:val="00F97D11"/>
    <w:rsid w:val="00FA0573"/>
    <w:rsid w:val="00FA07BD"/>
    <w:rsid w:val="00FA0D33"/>
    <w:rsid w:val="00FA0F73"/>
    <w:rsid w:val="00FA10AA"/>
    <w:rsid w:val="00FA1134"/>
    <w:rsid w:val="00FA1F3D"/>
    <w:rsid w:val="00FA1F88"/>
    <w:rsid w:val="00FA2237"/>
    <w:rsid w:val="00FA371C"/>
    <w:rsid w:val="00FA4788"/>
    <w:rsid w:val="00FA54EC"/>
    <w:rsid w:val="00FA5E99"/>
    <w:rsid w:val="00FA6092"/>
    <w:rsid w:val="00FA6107"/>
    <w:rsid w:val="00FA62EF"/>
    <w:rsid w:val="00FA6472"/>
    <w:rsid w:val="00FA678A"/>
    <w:rsid w:val="00FA6E76"/>
    <w:rsid w:val="00FA71F9"/>
    <w:rsid w:val="00FB03EE"/>
    <w:rsid w:val="00FB079F"/>
    <w:rsid w:val="00FB08E2"/>
    <w:rsid w:val="00FB2B8F"/>
    <w:rsid w:val="00FB37C1"/>
    <w:rsid w:val="00FB4A8C"/>
    <w:rsid w:val="00FB66B4"/>
    <w:rsid w:val="00FB6F4C"/>
    <w:rsid w:val="00FB784D"/>
    <w:rsid w:val="00FB7B67"/>
    <w:rsid w:val="00FB7B9C"/>
    <w:rsid w:val="00FC01ED"/>
    <w:rsid w:val="00FC08DD"/>
    <w:rsid w:val="00FC0AA2"/>
    <w:rsid w:val="00FC14B9"/>
    <w:rsid w:val="00FC319C"/>
    <w:rsid w:val="00FC341D"/>
    <w:rsid w:val="00FC3BDB"/>
    <w:rsid w:val="00FC3EA1"/>
    <w:rsid w:val="00FC3F9A"/>
    <w:rsid w:val="00FC4207"/>
    <w:rsid w:val="00FC4895"/>
    <w:rsid w:val="00FC4990"/>
    <w:rsid w:val="00FC4FC6"/>
    <w:rsid w:val="00FC50A7"/>
    <w:rsid w:val="00FC556B"/>
    <w:rsid w:val="00FC5923"/>
    <w:rsid w:val="00FC62EC"/>
    <w:rsid w:val="00FC754E"/>
    <w:rsid w:val="00FC7760"/>
    <w:rsid w:val="00FD0488"/>
    <w:rsid w:val="00FD04D5"/>
    <w:rsid w:val="00FD1685"/>
    <w:rsid w:val="00FD1750"/>
    <w:rsid w:val="00FD18D0"/>
    <w:rsid w:val="00FD1AE3"/>
    <w:rsid w:val="00FD1E7B"/>
    <w:rsid w:val="00FD1EC6"/>
    <w:rsid w:val="00FD22C4"/>
    <w:rsid w:val="00FD2FAC"/>
    <w:rsid w:val="00FD3E42"/>
    <w:rsid w:val="00FD4376"/>
    <w:rsid w:val="00FD4CF3"/>
    <w:rsid w:val="00FD70F5"/>
    <w:rsid w:val="00FD711D"/>
    <w:rsid w:val="00FD736E"/>
    <w:rsid w:val="00FD7660"/>
    <w:rsid w:val="00FD7FDE"/>
    <w:rsid w:val="00FE043F"/>
    <w:rsid w:val="00FE0BB0"/>
    <w:rsid w:val="00FE0CBE"/>
    <w:rsid w:val="00FE0D0F"/>
    <w:rsid w:val="00FE105C"/>
    <w:rsid w:val="00FE151F"/>
    <w:rsid w:val="00FE1D84"/>
    <w:rsid w:val="00FE1E98"/>
    <w:rsid w:val="00FE2708"/>
    <w:rsid w:val="00FE375C"/>
    <w:rsid w:val="00FE4317"/>
    <w:rsid w:val="00FE43A9"/>
    <w:rsid w:val="00FE5B72"/>
    <w:rsid w:val="00FE5C46"/>
    <w:rsid w:val="00FE5F93"/>
    <w:rsid w:val="00FE76C1"/>
    <w:rsid w:val="00FE7F6F"/>
    <w:rsid w:val="00FF01A4"/>
    <w:rsid w:val="00FF12E3"/>
    <w:rsid w:val="00FF17FC"/>
    <w:rsid w:val="00FF1885"/>
    <w:rsid w:val="00FF2EDB"/>
    <w:rsid w:val="00FF3281"/>
    <w:rsid w:val="00FF362A"/>
    <w:rsid w:val="00FF3DED"/>
    <w:rsid w:val="00FF4079"/>
    <w:rsid w:val="00FF4DE3"/>
    <w:rsid w:val="00FF56BC"/>
    <w:rsid w:val="00FF5B31"/>
    <w:rsid w:val="00FF6DA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CC34E6"/>
  <w15:docId w15:val="{80A5672F-D5EA-4D01-B62A-F9F3584E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096"/>
  </w:style>
  <w:style w:type="paragraph" w:styleId="Heading1">
    <w:name w:val="heading 1"/>
    <w:basedOn w:val="Normal"/>
    <w:next w:val="Normal"/>
    <w:link w:val="Heading1Char"/>
    <w:autoRedefine/>
    <w:uiPriority w:val="9"/>
    <w:qFormat/>
    <w:rsid w:val="00D548B7"/>
    <w:pPr>
      <w:keepNext/>
      <w:keepLines/>
      <w:numPr>
        <w:numId w:val="25"/>
      </w:numPr>
      <w:shd w:val="clear" w:color="auto" w:fill="FFFFFF" w:themeFill="background1"/>
      <w:spacing w:before="480" w:after="0"/>
      <w:ind w:left="450" w:right="-563" w:hanging="450"/>
      <w:outlineLvl w:val="0"/>
    </w:pPr>
    <w:rPr>
      <w:rFonts w:asciiTheme="majorHAnsi" w:eastAsiaTheme="majorEastAsia" w:hAnsiTheme="majorHAnsi" w:cstheme="majorBidi"/>
      <w:b/>
      <w:bCs/>
      <w:color w:val="4472C4" w:themeColor="accent5"/>
      <w:sz w:val="36"/>
      <w:szCs w:val="28"/>
    </w:rPr>
  </w:style>
  <w:style w:type="paragraph" w:styleId="Heading2">
    <w:name w:val="heading 2"/>
    <w:basedOn w:val="Normal"/>
    <w:next w:val="Normal"/>
    <w:link w:val="Heading2Char"/>
    <w:uiPriority w:val="9"/>
    <w:unhideWhenUsed/>
    <w:qFormat/>
    <w:rsid w:val="000F609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F609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F609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F609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F609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F60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609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0F60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6096"/>
    <w:pPr>
      <w:spacing w:after="0" w:line="240" w:lineRule="auto"/>
    </w:pPr>
  </w:style>
  <w:style w:type="character" w:customStyle="1" w:styleId="NoSpacingChar">
    <w:name w:val="No Spacing Char"/>
    <w:basedOn w:val="DefaultParagraphFont"/>
    <w:link w:val="NoSpacing"/>
    <w:uiPriority w:val="1"/>
    <w:rsid w:val="00A84D6A"/>
  </w:style>
  <w:style w:type="character" w:customStyle="1" w:styleId="Heading1Char">
    <w:name w:val="Heading 1 Char"/>
    <w:basedOn w:val="DefaultParagraphFont"/>
    <w:link w:val="Heading1"/>
    <w:uiPriority w:val="9"/>
    <w:rsid w:val="00D548B7"/>
    <w:rPr>
      <w:rFonts w:asciiTheme="majorHAnsi" w:eastAsiaTheme="majorEastAsia" w:hAnsiTheme="majorHAnsi" w:cstheme="majorBidi"/>
      <w:b/>
      <w:bCs/>
      <w:color w:val="4472C4" w:themeColor="accent5"/>
      <w:sz w:val="36"/>
      <w:szCs w:val="28"/>
      <w:shd w:val="clear" w:color="auto" w:fill="FFFFFF" w:themeFill="background1"/>
    </w:rPr>
  </w:style>
  <w:style w:type="character" w:customStyle="1" w:styleId="Heading2Char">
    <w:name w:val="Heading 2 Char"/>
    <w:basedOn w:val="DefaultParagraphFont"/>
    <w:link w:val="Heading2"/>
    <w:uiPriority w:val="9"/>
    <w:rsid w:val="000F609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F609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F609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F609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F609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F60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609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0F60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F6096"/>
    <w:pPr>
      <w:spacing w:line="240" w:lineRule="auto"/>
    </w:pPr>
    <w:rPr>
      <w:b/>
      <w:bCs/>
      <w:color w:val="5B9BD5" w:themeColor="accent1"/>
      <w:sz w:val="18"/>
      <w:szCs w:val="18"/>
    </w:rPr>
  </w:style>
  <w:style w:type="paragraph" w:styleId="Title">
    <w:name w:val="Title"/>
    <w:basedOn w:val="Normal"/>
    <w:next w:val="Normal"/>
    <w:link w:val="TitleChar"/>
    <w:uiPriority w:val="10"/>
    <w:qFormat/>
    <w:rsid w:val="000F609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F609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F609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F609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0F6096"/>
    <w:rPr>
      <w:b/>
      <w:bCs/>
    </w:rPr>
  </w:style>
  <w:style w:type="character" w:styleId="Emphasis">
    <w:name w:val="Emphasis"/>
    <w:basedOn w:val="DefaultParagraphFont"/>
    <w:uiPriority w:val="20"/>
    <w:qFormat/>
    <w:rsid w:val="000F6096"/>
    <w:rPr>
      <w:i/>
      <w:iCs/>
    </w:rPr>
  </w:style>
  <w:style w:type="paragraph" w:styleId="Quote">
    <w:name w:val="Quote"/>
    <w:basedOn w:val="Normal"/>
    <w:next w:val="Normal"/>
    <w:link w:val="QuoteChar"/>
    <w:uiPriority w:val="29"/>
    <w:qFormat/>
    <w:rsid w:val="000F6096"/>
    <w:rPr>
      <w:i/>
      <w:iCs/>
      <w:color w:val="000000" w:themeColor="text1"/>
    </w:rPr>
  </w:style>
  <w:style w:type="character" w:customStyle="1" w:styleId="QuoteChar">
    <w:name w:val="Quote Char"/>
    <w:basedOn w:val="DefaultParagraphFont"/>
    <w:link w:val="Quote"/>
    <w:uiPriority w:val="29"/>
    <w:rsid w:val="000F6096"/>
    <w:rPr>
      <w:i/>
      <w:iCs/>
      <w:color w:val="000000" w:themeColor="text1"/>
    </w:rPr>
  </w:style>
  <w:style w:type="paragraph" w:styleId="IntenseQuote">
    <w:name w:val="Intense Quote"/>
    <w:basedOn w:val="Normal"/>
    <w:next w:val="Normal"/>
    <w:link w:val="IntenseQuoteChar"/>
    <w:uiPriority w:val="30"/>
    <w:qFormat/>
    <w:rsid w:val="000F609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F6096"/>
    <w:rPr>
      <w:b/>
      <w:bCs/>
      <w:i/>
      <w:iCs/>
      <w:color w:val="5B9BD5" w:themeColor="accent1"/>
    </w:rPr>
  </w:style>
  <w:style w:type="character" w:styleId="SubtleEmphasis">
    <w:name w:val="Subtle Emphasis"/>
    <w:basedOn w:val="DefaultParagraphFont"/>
    <w:uiPriority w:val="19"/>
    <w:qFormat/>
    <w:rsid w:val="000F6096"/>
    <w:rPr>
      <w:i/>
      <w:iCs/>
      <w:color w:val="808080" w:themeColor="text1" w:themeTint="7F"/>
    </w:rPr>
  </w:style>
  <w:style w:type="character" w:styleId="IntenseEmphasis">
    <w:name w:val="Intense Emphasis"/>
    <w:basedOn w:val="DefaultParagraphFont"/>
    <w:uiPriority w:val="21"/>
    <w:qFormat/>
    <w:rsid w:val="000F6096"/>
    <w:rPr>
      <w:b/>
      <w:bCs/>
      <w:i/>
      <w:iCs/>
      <w:color w:val="5B9BD5" w:themeColor="accent1"/>
    </w:rPr>
  </w:style>
  <w:style w:type="character" w:styleId="SubtleReference">
    <w:name w:val="Subtle Reference"/>
    <w:basedOn w:val="DefaultParagraphFont"/>
    <w:uiPriority w:val="31"/>
    <w:qFormat/>
    <w:rsid w:val="000F6096"/>
    <w:rPr>
      <w:smallCaps/>
      <w:color w:val="ED7D31" w:themeColor="accent2"/>
      <w:u w:val="single"/>
    </w:rPr>
  </w:style>
  <w:style w:type="character" w:styleId="IntenseReference">
    <w:name w:val="Intense Reference"/>
    <w:basedOn w:val="DefaultParagraphFont"/>
    <w:uiPriority w:val="32"/>
    <w:qFormat/>
    <w:rsid w:val="000F6096"/>
    <w:rPr>
      <w:b/>
      <w:bCs/>
      <w:smallCaps/>
      <w:color w:val="ED7D31" w:themeColor="accent2"/>
      <w:spacing w:val="5"/>
      <w:u w:val="single"/>
    </w:rPr>
  </w:style>
  <w:style w:type="character" w:styleId="BookTitle">
    <w:name w:val="Book Title"/>
    <w:basedOn w:val="DefaultParagraphFont"/>
    <w:uiPriority w:val="33"/>
    <w:qFormat/>
    <w:rsid w:val="000F6096"/>
    <w:rPr>
      <w:b/>
      <w:bCs/>
      <w:smallCaps/>
      <w:spacing w:val="5"/>
    </w:rPr>
  </w:style>
  <w:style w:type="paragraph" w:styleId="TOCHeading">
    <w:name w:val="TOC Heading"/>
    <w:basedOn w:val="Heading1"/>
    <w:next w:val="Normal"/>
    <w:uiPriority w:val="39"/>
    <w:unhideWhenUsed/>
    <w:qFormat/>
    <w:rsid w:val="000F6096"/>
    <w:pPr>
      <w:outlineLvl w:val="9"/>
    </w:pPr>
  </w:style>
  <w:style w:type="paragraph" w:styleId="BalloonText">
    <w:name w:val="Balloon Text"/>
    <w:basedOn w:val="Normal"/>
    <w:link w:val="BalloonTextChar"/>
    <w:uiPriority w:val="99"/>
    <w:semiHidden/>
    <w:unhideWhenUsed/>
    <w:rsid w:val="00AE2088"/>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AE2088"/>
    <w:rPr>
      <w:rFonts w:ascii="Segoe UI" w:hAnsi="Segoe UI" w:cs="Segoe UI"/>
      <w:sz w:val="18"/>
      <w:szCs w:val="29"/>
    </w:rPr>
  </w:style>
  <w:style w:type="paragraph" w:styleId="TOC1">
    <w:name w:val="toc 1"/>
    <w:basedOn w:val="Normal"/>
    <w:next w:val="Normal"/>
    <w:autoRedefine/>
    <w:uiPriority w:val="39"/>
    <w:unhideWhenUsed/>
    <w:rsid w:val="00733EE8"/>
    <w:pPr>
      <w:tabs>
        <w:tab w:val="right" w:leader="dot" w:pos="9350"/>
      </w:tabs>
      <w:spacing w:after="100"/>
    </w:pPr>
    <w:rPr>
      <w:b/>
      <w:bCs/>
      <w:noProof/>
      <w:szCs w:val="36"/>
    </w:rPr>
  </w:style>
  <w:style w:type="character" w:styleId="Hyperlink">
    <w:name w:val="Hyperlink"/>
    <w:basedOn w:val="DefaultParagraphFont"/>
    <w:uiPriority w:val="99"/>
    <w:unhideWhenUsed/>
    <w:rsid w:val="0085358E"/>
    <w:rPr>
      <w:color w:val="0563C1" w:themeColor="hyperlink"/>
      <w:u w:val="single"/>
    </w:rPr>
  </w:style>
  <w:style w:type="paragraph" w:styleId="Header">
    <w:name w:val="header"/>
    <w:basedOn w:val="Normal"/>
    <w:link w:val="HeaderChar"/>
    <w:uiPriority w:val="99"/>
    <w:unhideWhenUsed/>
    <w:rsid w:val="00042ED0"/>
    <w:pPr>
      <w:tabs>
        <w:tab w:val="center" w:pos="4680"/>
        <w:tab w:val="right" w:pos="9360"/>
      </w:tabs>
      <w:spacing w:after="0" w:line="240" w:lineRule="auto"/>
    </w:pPr>
    <w:rPr>
      <w:szCs w:val="36"/>
    </w:rPr>
  </w:style>
  <w:style w:type="character" w:customStyle="1" w:styleId="HeaderChar">
    <w:name w:val="Header Char"/>
    <w:basedOn w:val="DefaultParagraphFont"/>
    <w:link w:val="Header"/>
    <w:uiPriority w:val="99"/>
    <w:rsid w:val="00042ED0"/>
    <w:rPr>
      <w:szCs w:val="36"/>
    </w:rPr>
  </w:style>
  <w:style w:type="paragraph" w:styleId="Footer">
    <w:name w:val="footer"/>
    <w:basedOn w:val="Normal"/>
    <w:link w:val="FooterChar"/>
    <w:uiPriority w:val="99"/>
    <w:unhideWhenUsed/>
    <w:rsid w:val="00042ED0"/>
    <w:pPr>
      <w:tabs>
        <w:tab w:val="center" w:pos="4680"/>
        <w:tab w:val="right" w:pos="9360"/>
      </w:tabs>
      <w:spacing w:after="0" w:line="240" w:lineRule="auto"/>
    </w:pPr>
    <w:rPr>
      <w:szCs w:val="36"/>
    </w:rPr>
  </w:style>
  <w:style w:type="character" w:customStyle="1" w:styleId="FooterChar">
    <w:name w:val="Footer Char"/>
    <w:basedOn w:val="DefaultParagraphFont"/>
    <w:link w:val="Footer"/>
    <w:uiPriority w:val="99"/>
    <w:rsid w:val="00042ED0"/>
    <w:rPr>
      <w:szCs w:val="36"/>
    </w:rPr>
  </w:style>
  <w:style w:type="paragraph" w:styleId="FootnoteText">
    <w:name w:val="footnote text"/>
    <w:aliases w:val="single space,Nbpage Moens,Fußnote,Footnote Text Char Char Char Char,Footnote Text Char Char,ft,fn,FOOTNOTES,Footnote Text Char1 Char,Footnote Text Char Char Char Char Char Char Char Char Char Char,(NECG) Footnote Text Char Char Char,f,A"/>
    <w:basedOn w:val="Normal"/>
    <w:link w:val="FootnoteTextChar"/>
    <w:unhideWhenUsed/>
    <w:qFormat/>
    <w:rsid w:val="006E76BA"/>
    <w:pPr>
      <w:spacing w:after="0" w:line="240" w:lineRule="auto"/>
    </w:pPr>
    <w:rPr>
      <w:sz w:val="20"/>
      <w:szCs w:val="32"/>
    </w:rPr>
  </w:style>
  <w:style w:type="character" w:customStyle="1" w:styleId="FootnoteTextChar">
    <w:name w:val="Footnote Text Char"/>
    <w:aliases w:val="single space Char1,Nbpage Moens Char1,Fußnote Char1,Footnote Text Char Char Char Char Char1,Footnote Text Char Char Char1,ft Char1,fn Char1,FOOTNOTES Char1,Footnote Text Char1 Char Char1,(NECG) Footnote Text Char Char Char Char1"/>
    <w:basedOn w:val="DefaultParagraphFont"/>
    <w:link w:val="FootnoteText"/>
    <w:rsid w:val="006E76BA"/>
    <w:rPr>
      <w:sz w:val="20"/>
      <w:szCs w:val="32"/>
    </w:rPr>
  </w:style>
  <w:style w:type="character" w:styleId="FootnoteReference">
    <w:name w:val="footnote reference"/>
    <w:aliases w:val="ftref,fr,16 Point,Superscript 6 Point,(NECG) Footnote Reference,Ref,de nota al pie,FnR-ANZDEC,Fußnotenzeichen DISS,Footnote Ref in FtNote,SUPERS,Footnote text,BVI fnr"/>
    <w:basedOn w:val="DefaultParagraphFont"/>
    <w:unhideWhenUsed/>
    <w:rsid w:val="006E76BA"/>
    <w:rPr>
      <w:vertAlign w:val="superscript"/>
    </w:rPr>
  </w:style>
  <w:style w:type="paragraph" w:styleId="ListParagraph">
    <w:name w:val="List Paragraph"/>
    <w:aliases w:val="List Paragraph (numbered (a)),Bullets,List Paragraph1,Akapit z listą BS"/>
    <w:basedOn w:val="Normal"/>
    <w:link w:val="ListParagraphChar"/>
    <w:uiPriority w:val="99"/>
    <w:qFormat/>
    <w:rsid w:val="00B8337E"/>
    <w:pPr>
      <w:spacing w:after="0"/>
      <w:ind w:left="720"/>
      <w:contextualSpacing/>
    </w:pPr>
    <w:rPr>
      <w:rFonts w:ascii="Garamond" w:eastAsia="Calibri" w:hAnsi="Garamond" w:cs="Times New Roman"/>
      <w:sz w:val="24"/>
      <w:lang w:val="en-GB" w:bidi="ar-SA"/>
    </w:rPr>
  </w:style>
  <w:style w:type="paragraph" w:styleId="TOC2">
    <w:name w:val="toc 2"/>
    <w:basedOn w:val="Normal"/>
    <w:next w:val="Normal"/>
    <w:autoRedefine/>
    <w:uiPriority w:val="39"/>
    <w:unhideWhenUsed/>
    <w:rsid w:val="00654BC1"/>
    <w:pPr>
      <w:tabs>
        <w:tab w:val="right" w:leader="dot" w:pos="9356"/>
      </w:tabs>
      <w:spacing w:after="100"/>
      <w:ind w:left="220"/>
    </w:pPr>
    <w:rPr>
      <w:szCs w:val="36"/>
    </w:rPr>
  </w:style>
  <w:style w:type="character" w:styleId="CommentReference">
    <w:name w:val="annotation reference"/>
    <w:basedOn w:val="DefaultParagraphFont"/>
    <w:unhideWhenUsed/>
    <w:rsid w:val="007D22BD"/>
    <w:rPr>
      <w:sz w:val="18"/>
      <w:szCs w:val="18"/>
    </w:rPr>
  </w:style>
  <w:style w:type="paragraph" w:styleId="CommentText">
    <w:name w:val="annotation text"/>
    <w:basedOn w:val="Normal"/>
    <w:link w:val="CommentTextChar"/>
    <w:unhideWhenUsed/>
    <w:rsid w:val="007D22BD"/>
    <w:pPr>
      <w:spacing w:line="240" w:lineRule="auto"/>
    </w:pPr>
    <w:rPr>
      <w:sz w:val="24"/>
      <w:szCs w:val="24"/>
    </w:rPr>
  </w:style>
  <w:style w:type="character" w:customStyle="1" w:styleId="CommentTextChar">
    <w:name w:val="Comment Text Char"/>
    <w:basedOn w:val="DefaultParagraphFont"/>
    <w:link w:val="CommentText"/>
    <w:rsid w:val="007D22BD"/>
    <w:rPr>
      <w:sz w:val="24"/>
      <w:szCs w:val="24"/>
    </w:rPr>
  </w:style>
  <w:style w:type="paragraph" w:styleId="CommentSubject">
    <w:name w:val="annotation subject"/>
    <w:basedOn w:val="CommentText"/>
    <w:next w:val="CommentText"/>
    <w:link w:val="CommentSubjectChar"/>
    <w:uiPriority w:val="99"/>
    <w:semiHidden/>
    <w:unhideWhenUsed/>
    <w:rsid w:val="007D22BD"/>
    <w:rPr>
      <w:b/>
      <w:bCs/>
      <w:sz w:val="20"/>
      <w:szCs w:val="20"/>
    </w:rPr>
  </w:style>
  <w:style w:type="character" w:customStyle="1" w:styleId="CommentSubjectChar">
    <w:name w:val="Comment Subject Char"/>
    <w:basedOn w:val="CommentTextChar"/>
    <w:link w:val="CommentSubject"/>
    <w:uiPriority w:val="99"/>
    <w:semiHidden/>
    <w:rsid w:val="007D22BD"/>
    <w:rPr>
      <w:b/>
      <w:bCs/>
      <w:sz w:val="20"/>
      <w:szCs w:val="20"/>
    </w:rPr>
  </w:style>
  <w:style w:type="table" w:styleId="TableGrid">
    <w:name w:val="Table Grid"/>
    <w:basedOn w:val="TableNormal"/>
    <w:uiPriority w:val="39"/>
    <w:rsid w:val="009D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E63147"/>
    <w:pPr>
      <w:autoSpaceDE w:val="0"/>
      <w:autoSpaceDN w:val="0"/>
      <w:adjustRightInd w:val="0"/>
      <w:spacing w:after="0" w:line="241" w:lineRule="atLeast"/>
    </w:pPr>
    <w:rPr>
      <w:rFonts w:ascii="Myriad Pro" w:eastAsiaTheme="minorHAnsi" w:hAnsi="Myriad Pro"/>
      <w:sz w:val="24"/>
      <w:szCs w:val="24"/>
    </w:rPr>
  </w:style>
  <w:style w:type="character" w:customStyle="1" w:styleId="A3">
    <w:name w:val="A3"/>
    <w:uiPriority w:val="99"/>
    <w:rsid w:val="00E63147"/>
    <w:rPr>
      <w:rFonts w:cs="Myriad Pro"/>
      <w:color w:val="000000"/>
      <w:sz w:val="21"/>
      <w:szCs w:val="21"/>
    </w:rPr>
  </w:style>
  <w:style w:type="paragraph" w:styleId="NormalWeb">
    <w:name w:val="Normal (Web)"/>
    <w:basedOn w:val="Normal"/>
    <w:uiPriority w:val="99"/>
    <w:unhideWhenUsed/>
    <w:rsid w:val="0049795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44227"/>
    <w:rPr>
      <w:color w:val="954F72" w:themeColor="followedHyperlink"/>
      <w:u w:val="single"/>
    </w:rPr>
  </w:style>
  <w:style w:type="table" w:customStyle="1" w:styleId="GridTable5Dark-Accent51">
    <w:name w:val="Grid Table 5 Dark - Accent 51"/>
    <w:basedOn w:val="TableNormal"/>
    <w:uiPriority w:val="50"/>
    <w:rsid w:val="00901F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ListParagraphChar">
    <w:name w:val="List Paragraph Char"/>
    <w:aliases w:val="List Paragraph (numbered (a)) Char,Bullets Char,List Paragraph1 Char,Akapit z listą BS Char"/>
    <w:link w:val="ListParagraph"/>
    <w:uiPriority w:val="34"/>
    <w:locked/>
    <w:rsid w:val="00085CF1"/>
    <w:rPr>
      <w:rFonts w:ascii="Garamond" w:eastAsia="Calibri" w:hAnsi="Garamond" w:cs="Times New Roman"/>
      <w:sz w:val="24"/>
      <w:lang w:val="en-GB" w:bidi="ar-SA"/>
    </w:rPr>
  </w:style>
  <w:style w:type="character" w:customStyle="1" w:styleId="FootnoteTextChar1">
    <w:name w:val="Footnote Text Char1"/>
    <w:aliases w:val="single space Char,Nbpage Moens Char,Fußnote Char,Footnote Text Char Char Char Char Char,Footnote Text Char Char Char,ft Char,fn Char,FOOTNOTES Char,Footnote Text Char1 Char Char,(NECG) Footnote Text Char Char Char Char,f Char,A Char"/>
    <w:basedOn w:val="DefaultParagraphFont"/>
    <w:locked/>
    <w:rsid w:val="00CB2412"/>
    <w:rPr>
      <w:rFonts w:ascii="Calibri" w:eastAsia="Calibri" w:hAnsi="Calibri" w:cs="Times New Roman"/>
      <w:sz w:val="20"/>
      <w:szCs w:val="20"/>
      <w:lang w:val="en-AU"/>
    </w:rPr>
  </w:style>
  <w:style w:type="paragraph" w:styleId="TOC3">
    <w:name w:val="toc 3"/>
    <w:basedOn w:val="Normal"/>
    <w:next w:val="Normal"/>
    <w:autoRedefine/>
    <w:uiPriority w:val="39"/>
    <w:unhideWhenUsed/>
    <w:rsid w:val="00654BC1"/>
    <w:pPr>
      <w:tabs>
        <w:tab w:val="right" w:leader="dot" w:pos="9356"/>
      </w:tabs>
      <w:spacing w:after="100"/>
      <w:ind w:left="440"/>
    </w:pPr>
    <w:rPr>
      <w:szCs w:val="36"/>
    </w:rPr>
  </w:style>
  <w:style w:type="character" w:customStyle="1" w:styleId="Funotenzeichen1">
    <w:name w:val="Fußnotenzeichen1"/>
    <w:basedOn w:val="DefaultParagraphFont"/>
    <w:rsid w:val="00A22EB5"/>
    <w:rPr>
      <w:rFonts w:cs="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854">
      <w:bodyDiv w:val="1"/>
      <w:marLeft w:val="0"/>
      <w:marRight w:val="0"/>
      <w:marTop w:val="0"/>
      <w:marBottom w:val="0"/>
      <w:divBdr>
        <w:top w:val="none" w:sz="0" w:space="0" w:color="auto"/>
        <w:left w:val="none" w:sz="0" w:space="0" w:color="auto"/>
        <w:bottom w:val="none" w:sz="0" w:space="0" w:color="auto"/>
        <w:right w:val="none" w:sz="0" w:space="0" w:color="auto"/>
      </w:divBdr>
    </w:div>
    <w:div w:id="861551876">
      <w:bodyDiv w:val="1"/>
      <w:marLeft w:val="0"/>
      <w:marRight w:val="0"/>
      <w:marTop w:val="0"/>
      <w:marBottom w:val="0"/>
      <w:divBdr>
        <w:top w:val="none" w:sz="0" w:space="0" w:color="auto"/>
        <w:left w:val="none" w:sz="0" w:space="0" w:color="auto"/>
        <w:bottom w:val="none" w:sz="0" w:space="0" w:color="auto"/>
        <w:right w:val="none" w:sz="0" w:space="0" w:color="auto"/>
      </w:divBdr>
    </w:div>
    <w:div w:id="1094519260">
      <w:bodyDiv w:val="1"/>
      <w:marLeft w:val="0"/>
      <w:marRight w:val="0"/>
      <w:marTop w:val="0"/>
      <w:marBottom w:val="0"/>
      <w:divBdr>
        <w:top w:val="none" w:sz="0" w:space="0" w:color="auto"/>
        <w:left w:val="none" w:sz="0" w:space="0" w:color="auto"/>
        <w:bottom w:val="none" w:sz="0" w:space="0" w:color="auto"/>
        <w:right w:val="none" w:sz="0" w:space="0" w:color="auto"/>
      </w:divBdr>
    </w:div>
    <w:div w:id="1568566684">
      <w:bodyDiv w:val="1"/>
      <w:marLeft w:val="0"/>
      <w:marRight w:val="0"/>
      <w:marTop w:val="0"/>
      <w:marBottom w:val="0"/>
      <w:divBdr>
        <w:top w:val="none" w:sz="0" w:space="0" w:color="auto"/>
        <w:left w:val="none" w:sz="0" w:space="0" w:color="auto"/>
        <w:bottom w:val="none" w:sz="0" w:space="0" w:color="auto"/>
        <w:right w:val="none" w:sz="0" w:space="0" w:color="auto"/>
      </w:divBdr>
      <w:divsChild>
        <w:div w:id="7803197">
          <w:marLeft w:val="173"/>
          <w:marRight w:val="0"/>
          <w:marTop w:val="0"/>
          <w:marBottom w:val="0"/>
          <w:divBdr>
            <w:top w:val="none" w:sz="0" w:space="0" w:color="auto"/>
            <w:left w:val="none" w:sz="0" w:space="0" w:color="auto"/>
            <w:bottom w:val="none" w:sz="0" w:space="0" w:color="auto"/>
            <w:right w:val="none" w:sz="0" w:space="0" w:color="auto"/>
          </w:divBdr>
        </w:div>
        <w:div w:id="1628315606">
          <w:marLeft w:val="17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07/relationships/hdphoto" Target="media/hdphoto1.wdp"/><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14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915E43-BBB3-4222-8312-D0D5028D72D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Bureau for crisis prevention and recovery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4DADEA-2B82-4D21-8CB2-60A662A5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12719</Words>
  <Characters>72499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RISK INFORMED DEVELOPMENT</vt:lpstr>
    </vt:vector>
  </TitlesOfParts>
  <Company>UNDP</Company>
  <LinksUpToDate>false</LinksUpToDate>
  <CharactersWithSpaces>85048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INFORMED DEVELOPMENT</dc:title>
  <dc:subject>I</dc:subject>
  <dc:creator>CLIMATE CHANGE AND DISASTER RISK REDUCTION TEAM, BPPS</dc:creator>
  <cp:keywords/>
  <dc:description/>
  <cp:lastModifiedBy>Martin Ras</cp:lastModifiedBy>
  <cp:revision>2</cp:revision>
  <cp:lastPrinted>2016-05-25T08:47:00Z</cp:lastPrinted>
  <dcterms:created xsi:type="dcterms:W3CDTF">2016-05-31T23:03:00Z</dcterms:created>
  <dcterms:modified xsi:type="dcterms:W3CDTF">2016-05-31T23:03:00Z</dcterms:modified>
</cp:coreProperties>
</file>